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34" w:rsidRDefault="008C5844" w:rsidP="00772734">
      <w:pPr>
        <w:autoSpaceDE w:val="0"/>
        <w:autoSpaceDN w:val="0"/>
        <w:adjustRightInd w:val="0"/>
        <w:jc w:val="center"/>
        <w:outlineLvl w:val="0"/>
        <w:rPr>
          <w:b/>
          <w:bCs/>
          <w:iCs/>
          <w:color w:val="000000"/>
          <w:sz w:val="40"/>
          <w:szCs w:val="40"/>
        </w:rPr>
      </w:pPr>
      <w:r>
        <w:rPr>
          <w:b/>
          <w:bCs/>
          <w:iCs/>
          <w:color w:val="000000"/>
          <w:sz w:val="40"/>
          <w:szCs w:val="40"/>
        </w:rPr>
        <w:t>Rat</w:t>
      </w:r>
      <w:r w:rsidR="0076326F">
        <w:rPr>
          <w:b/>
          <w:bCs/>
          <w:iCs/>
          <w:color w:val="000000"/>
          <w:sz w:val="40"/>
          <w:szCs w:val="40"/>
        </w:rPr>
        <w:t xml:space="preserve"> </w:t>
      </w:r>
      <w:r w:rsidR="00772734">
        <w:rPr>
          <w:b/>
          <w:bCs/>
          <w:iCs/>
          <w:color w:val="000000"/>
          <w:sz w:val="40"/>
          <w:szCs w:val="40"/>
        </w:rPr>
        <w:t xml:space="preserve">monoclonal anti </w:t>
      </w:r>
      <w:r w:rsidR="00400133">
        <w:rPr>
          <w:b/>
          <w:bCs/>
          <w:iCs/>
          <w:color w:val="000000"/>
          <w:sz w:val="40"/>
          <w:szCs w:val="40"/>
        </w:rPr>
        <w:t xml:space="preserve">human </w:t>
      </w:r>
      <w:r>
        <w:rPr>
          <w:b/>
          <w:bCs/>
          <w:iCs/>
          <w:color w:val="000000"/>
          <w:sz w:val="40"/>
          <w:szCs w:val="40"/>
        </w:rPr>
        <w:t xml:space="preserve">IL-12 </w:t>
      </w:r>
      <w:r w:rsidR="001778C8">
        <w:rPr>
          <w:b/>
          <w:bCs/>
          <w:iCs/>
          <w:color w:val="000000"/>
          <w:sz w:val="40"/>
          <w:szCs w:val="40"/>
        </w:rPr>
        <w:t>(p35</w:t>
      </w:r>
      <w:r>
        <w:rPr>
          <w:b/>
          <w:bCs/>
          <w:iCs/>
          <w:color w:val="000000"/>
          <w:sz w:val="40"/>
          <w:szCs w:val="40"/>
        </w:rPr>
        <w:t>)</w:t>
      </w:r>
    </w:p>
    <w:p w:rsidR="00772734" w:rsidRDefault="00772734" w:rsidP="00772734">
      <w:pPr>
        <w:autoSpaceDE w:val="0"/>
        <w:autoSpaceDN w:val="0"/>
        <w:adjustRightInd w:val="0"/>
        <w:jc w:val="center"/>
        <w:outlineLvl w:val="0"/>
        <w:rPr>
          <w:b/>
          <w:bCs/>
          <w:iCs/>
          <w:color w:val="000000"/>
          <w:sz w:val="28"/>
          <w:szCs w:val="28"/>
          <w:u w:val="single"/>
        </w:rPr>
      </w:pPr>
      <w:r>
        <w:rPr>
          <w:b/>
          <w:bCs/>
          <w:iCs/>
          <w:color w:val="000000"/>
          <w:sz w:val="28"/>
          <w:szCs w:val="28"/>
          <w:u w:val="single"/>
        </w:rPr>
        <w:t>(</w:t>
      </w:r>
      <w:proofErr w:type="spellStart"/>
      <w:r>
        <w:rPr>
          <w:b/>
          <w:bCs/>
          <w:iCs/>
          <w:color w:val="000000"/>
          <w:sz w:val="28"/>
          <w:szCs w:val="28"/>
          <w:u w:val="single"/>
        </w:rPr>
        <w:t>Azide</w:t>
      </w:r>
      <w:proofErr w:type="spellEnd"/>
      <w:r>
        <w:rPr>
          <w:b/>
          <w:bCs/>
          <w:iCs/>
          <w:color w:val="000000"/>
          <w:sz w:val="28"/>
          <w:szCs w:val="28"/>
          <w:u w:val="single"/>
        </w:rPr>
        <w:t>-free &amp; Low endotoxin)</w:t>
      </w:r>
    </w:p>
    <w:p w:rsidR="00772734" w:rsidRDefault="00772734" w:rsidP="00772734">
      <w:pPr>
        <w:autoSpaceDE w:val="0"/>
        <w:autoSpaceDN w:val="0"/>
        <w:adjustRightInd w:val="0"/>
        <w:jc w:val="both"/>
        <w:rPr>
          <w:rFonts w:ascii="Script MT Bold" w:hAnsi="Script MT Bold"/>
          <w:bCs/>
          <w:color w:val="FF0000"/>
          <w:sz w:val="16"/>
          <w:szCs w:val="16"/>
        </w:rPr>
      </w:pPr>
    </w:p>
    <w:p w:rsidR="00772734" w:rsidRDefault="00772734" w:rsidP="00772734">
      <w:pPr>
        <w:autoSpaceDE w:val="0"/>
        <w:autoSpaceDN w:val="0"/>
        <w:adjustRightInd w:val="0"/>
        <w:jc w:val="both"/>
        <w:outlineLvl w:val="0"/>
        <w:rPr>
          <w:b/>
          <w:bCs/>
          <w:color w:val="000000"/>
        </w:rPr>
      </w:pPr>
    </w:p>
    <w:p w:rsidR="00772734" w:rsidRDefault="00772734" w:rsidP="00772734">
      <w:pPr>
        <w:autoSpaceDE w:val="0"/>
        <w:autoSpaceDN w:val="0"/>
        <w:adjustRightInd w:val="0"/>
        <w:jc w:val="both"/>
        <w:outlineLvl w:val="0"/>
        <w:rPr>
          <w:b/>
          <w:bCs/>
          <w:color w:val="000000"/>
        </w:rPr>
      </w:pPr>
      <w:r>
        <w:rPr>
          <w:b/>
          <w:bCs/>
          <w:color w:val="000000"/>
        </w:rPr>
        <w:t>ORDERING INFORMATION</w:t>
      </w:r>
    </w:p>
    <w:p w:rsidR="00772734" w:rsidRDefault="00772734" w:rsidP="00772734">
      <w:pPr>
        <w:autoSpaceDE w:val="0"/>
        <w:autoSpaceDN w:val="0"/>
        <w:adjustRightInd w:val="0"/>
        <w:jc w:val="both"/>
        <w:outlineLvl w:val="0"/>
        <w:rPr>
          <w:b/>
          <w:bCs/>
          <w:color w:val="000000"/>
        </w:rPr>
      </w:pPr>
    </w:p>
    <w:p w:rsidR="00772734" w:rsidRDefault="00772734" w:rsidP="00772734">
      <w:pPr>
        <w:autoSpaceDE w:val="0"/>
        <w:autoSpaceDN w:val="0"/>
        <w:adjustRightInd w:val="0"/>
        <w:jc w:val="both"/>
        <w:outlineLvl w:val="0"/>
        <w:rPr>
          <w:b/>
          <w:bCs/>
          <w:color w:val="000000"/>
        </w:rPr>
      </w:pPr>
      <w:r>
        <w:rPr>
          <w:b/>
          <w:bCs/>
          <w:color w:val="000000"/>
          <w:sz w:val="40"/>
          <w:szCs w:val="40"/>
        </w:rPr>
        <w:tab/>
      </w:r>
      <w:r>
        <w:rPr>
          <w:b/>
          <w:bCs/>
          <w:color w:val="000000"/>
          <w:sz w:val="40"/>
          <w:szCs w:val="40"/>
        </w:rPr>
        <w:tab/>
      </w:r>
      <w:r>
        <w:rPr>
          <w:b/>
          <w:bCs/>
          <w:color w:val="000000"/>
        </w:rPr>
        <w:t xml:space="preserve">Catalog Number: </w:t>
      </w:r>
      <w:r>
        <w:rPr>
          <w:b/>
          <w:bCs/>
          <w:color w:val="000000"/>
        </w:rPr>
        <w:tab/>
        <w:t>gAP-0</w:t>
      </w:r>
      <w:r w:rsidR="00400133">
        <w:rPr>
          <w:b/>
          <w:bCs/>
          <w:color w:val="000000"/>
        </w:rPr>
        <w:t>2</w:t>
      </w:r>
      <w:r w:rsidR="008C5844">
        <w:rPr>
          <w:b/>
          <w:bCs/>
          <w:color w:val="000000"/>
        </w:rPr>
        <w:t>1</w:t>
      </w:r>
      <w:r w:rsidR="00400133">
        <w:rPr>
          <w:b/>
          <w:bCs/>
          <w:color w:val="000000"/>
        </w:rPr>
        <w:t>0</w:t>
      </w:r>
    </w:p>
    <w:p w:rsidR="00772734" w:rsidRDefault="00772734" w:rsidP="00772734">
      <w:pPr>
        <w:autoSpaceDE w:val="0"/>
        <w:autoSpaceDN w:val="0"/>
        <w:adjustRightInd w:val="0"/>
        <w:jc w:val="both"/>
        <w:rPr>
          <w:b/>
          <w:bCs/>
          <w:color w:val="000000"/>
        </w:rPr>
      </w:pPr>
      <w:r>
        <w:rPr>
          <w:b/>
          <w:bCs/>
          <w:color w:val="000000"/>
        </w:rPr>
        <w:tab/>
      </w:r>
      <w:r>
        <w:rPr>
          <w:b/>
          <w:bCs/>
          <w:color w:val="000000"/>
        </w:rPr>
        <w:tab/>
        <w:t xml:space="preserve">Size: </w:t>
      </w:r>
      <w:r>
        <w:rPr>
          <w:b/>
          <w:bCs/>
          <w:color w:val="000000"/>
        </w:rPr>
        <w:tab/>
      </w:r>
      <w:r>
        <w:rPr>
          <w:b/>
          <w:bCs/>
          <w:color w:val="000000"/>
        </w:rPr>
        <w:tab/>
      </w:r>
      <w:r>
        <w:rPr>
          <w:b/>
          <w:bCs/>
          <w:color w:val="000000"/>
        </w:rPr>
        <w:tab/>
      </w:r>
      <w:r>
        <w:rPr>
          <w:b/>
          <w:color w:val="000000"/>
        </w:rPr>
        <w:t>1.00 mg</w:t>
      </w:r>
    </w:p>
    <w:p w:rsidR="00772734" w:rsidRDefault="00772734" w:rsidP="00772734">
      <w:pPr>
        <w:autoSpaceDE w:val="0"/>
        <w:autoSpaceDN w:val="0"/>
        <w:adjustRightInd w:val="0"/>
        <w:jc w:val="both"/>
        <w:rPr>
          <w:b/>
          <w:color w:val="000000"/>
        </w:rPr>
      </w:pPr>
      <w:r>
        <w:rPr>
          <w:b/>
          <w:bCs/>
          <w:color w:val="000000"/>
        </w:rPr>
        <w:tab/>
      </w:r>
      <w:r>
        <w:rPr>
          <w:b/>
          <w:bCs/>
          <w:color w:val="000000"/>
        </w:rPr>
        <w:tab/>
        <w:t xml:space="preserve">Storage: </w:t>
      </w:r>
      <w:r>
        <w:rPr>
          <w:b/>
          <w:bCs/>
          <w:color w:val="000000"/>
        </w:rPr>
        <w:tab/>
      </w:r>
      <w:r>
        <w:rPr>
          <w:b/>
          <w:bCs/>
          <w:color w:val="000000"/>
        </w:rPr>
        <w:tab/>
      </w:r>
      <w:r>
        <w:rPr>
          <w:b/>
          <w:color w:val="000000"/>
        </w:rPr>
        <w:t>&lt; -20° C</w:t>
      </w:r>
    </w:p>
    <w:p w:rsidR="0089216E" w:rsidRDefault="00772734" w:rsidP="00DA2AD9">
      <w:pPr>
        <w:ind w:left="720" w:firstLine="720"/>
        <w:rPr>
          <w:b/>
          <w:bCs/>
          <w:color w:val="000000"/>
        </w:rPr>
      </w:pPr>
      <w:r>
        <w:rPr>
          <w:b/>
          <w:bCs/>
          <w:color w:val="000000"/>
        </w:rPr>
        <w:t xml:space="preserve">Immunogen: </w:t>
      </w:r>
      <w:r>
        <w:rPr>
          <w:b/>
          <w:bCs/>
          <w:color w:val="000000"/>
        </w:rPr>
        <w:tab/>
      </w:r>
      <w:r>
        <w:rPr>
          <w:b/>
          <w:bCs/>
          <w:color w:val="000000"/>
        </w:rPr>
        <w:tab/>
      </w:r>
      <w:r w:rsidR="00DA2AD9">
        <w:rPr>
          <w:b/>
          <w:bCs/>
          <w:color w:val="000000"/>
        </w:rPr>
        <w:t xml:space="preserve">Recombinant </w:t>
      </w:r>
      <w:r w:rsidR="001778C8">
        <w:rPr>
          <w:b/>
          <w:bCs/>
          <w:color w:val="000000"/>
        </w:rPr>
        <w:t>h</w:t>
      </w:r>
      <w:r w:rsidR="00DA2AD9">
        <w:rPr>
          <w:b/>
          <w:bCs/>
          <w:color w:val="000000"/>
        </w:rPr>
        <w:t xml:space="preserve">uman </w:t>
      </w:r>
      <w:r w:rsidR="001778C8">
        <w:rPr>
          <w:b/>
          <w:bCs/>
          <w:color w:val="000000"/>
        </w:rPr>
        <w:t>IL-12 (p35)</w:t>
      </w:r>
    </w:p>
    <w:p w:rsidR="00772734" w:rsidRDefault="00772734" w:rsidP="00772734">
      <w:pPr>
        <w:ind w:left="720" w:firstLine="720"/>
        <w:rPr>
          <w:b/>
        </w:rPr>
      </w:pPr>
      <w:r>
        <w:rPr>
          <w:b/>
          <w:bCs/>
          <w:color w:val="000000"/>
        </w:rPr>
        <w:t xml:space="preserve">Ig Type: </w:t>
      </w:r>
      <w:r>
        <w:rPr>
          <w:b/>
          <w:bCs/>
          <w:color w:val="000000"/>
        </w:rPr>
        <w:tab/>
      </w:r>
      <w:r>
        <w:rPr>
          <w:b/>
          <w:bCs/>
          <w:color w:val="000000"/>
        </w:rPr>
        <w:tab/>
      </w:r>
      <w:r w:rsidR="001778C8">
        <w:rPr>
          <w:b/>
          <w:bCs/>
          <w:color w:val="000000"/>
        </w:rPr>
        <w:t xml:space="preserve">Rat </w:t>
      </w:r>
      <w:r w:rsidR="001C2936">
        <w:rPr>
          <w:b/>
          <w:bCs/>
          <w:color w:val="000000"/>
        </w:rPr>
        <w:t>IgG</w:t>
      </w:r>
      <w:r w:rsidR="001778C8">
        <w:rPr>
          <w:b/>
          <w:bCs/>
          <w:color w:val="000000"/>
        </w:rPr>
        <w:t>1</w:t>
      </w:r>
    </w:p>
    <w:p w:rsidR="00772734" w:rsidRDefault="00772734" w:rsidP="00772734">
      <w:pPr>
        <w:autoSpaceDE w:val="0"/>
        <w:autoSpaceDN w:val="0"/>
        <w:adjustRightInd w:val="0"/>
        <w:jc w:val="both"/>
        <w:rPr>
          <w:b/>
          <w:color w:val="000000"/>
        </w:rPr>
      </w:pPr>
      <w:r>
        <w:rPr>
          <w:b/>
          <w:color w:val="000000"/>
        </w:rPr>
        <w:tab/>
      </w:r>
      <w:r>
        <w:rPr>
          <w:b/>
          <w:color w:val="000000"/>
        </w:rPr>
        <w:tab/>
        <w:t>Clone</w:t>
      </w:r>
      <w:r>
        <w:rPr>
          <w:b/>
          <w:color w:val="000000"/>
        </w:rPr>
        <w:tab/>
      </w:r>
      <w:r>
        <w:rPr>
          <w:b/>
          <w:color w:val="000000"/>
        </w:rPr>
        <w:tab/>
      </w:r>
      <w:r>
        <w:rPr>
          <w:b/>
          <w:color w:val="000000"/>
        </w:rPr>
        <w:tab/>
        <w:t>AP-MAB</w:t>
      </w:r>
      <w:r w:rsidR="00287285">
        <w:rPr>
          <w:b/>
          <w:color w:val="000000"/>
        </w:rPr>
        <w:t>16</w:t>
      </w:r>
      <w:r w:rsidR="001778C8">
        <w:rPr>
          <w:b/>
          <w:color w:val="000000"/>
        </w:rPr>
        <w:t>1</w:t>
      </w:r>
      <w:r w:rsidR="00287285">
        <w:rPr>
          <w:b/>
          <w:color w:val="000000"/>
        </w:rPr>
        <w:t>0</w:t>
      </w:r>
    </w:p>
    <w:p w:rsidR="00772734" w:rsidRDefault="00772734" w:rsidP="00772734">
      <w:pPr>
        <w:autoSpaceDE w:val="0"/>
        <w:autoSpaceDN w:val="0"/>
        <w:adjustRightInd w:val="0"/>
        <w:ind w:left="720" w:firstLine="720"/>
        <w:jc w:val="both"/>
        <w:rPr>
          <w:b/>
          <w:bCs/>
          <w:color w:val="000000"/>
        </w:rPr>
      </w:pPr>
      <w:r>
        <w:rPr>
          <w:b/>
          <w:bCs/>
          <w:color w:val="000000"/>
        </w:rPr>
        <w:t>Endotoxin Level</w:t>
      </w:r>
      <w:r>
        <w:rPr>
          <w:b/>
          <w:bCs/>
          <w:color w:val="000000"/>
        </w:rPr>
        <w:tab/>
        <w:t>&lt; 0.002EU/</w:t>
      </w:r>
      <w:r>
        <w:rPr>
          <w:rFonts w:ascii="Symbol" w:hAnsi="Symbol"/>
          <w:b/>
          <w:bCs/>
          <w:color w:val="000000"/>
        </w:rPr>
        <w:t></w:t>
      </w:r>
      <w:r>
        <w:rPr>
          <w:b/>
          <w:bCs/>
          <w:color w:val="000000"/>
        </w:rPr>
        <w:t>g IgG*</w:t>
      </w:r>
    </w:p>
    <w:p w:rsidR="00772734" w:rsidRDefault="006E0270" w:rsidP="006E0270">
      <w:pPr>
        <w:autoSpaceDE w:val="0"/>
        <w:autoSpaceDN w:val="0"/>
        <w:adjustRightInd w:val="0"/>
        <w:ind w:left="3600" w:hanging="2160"/>
        <w:jc w:val="both"/>
        <w:rPr>
          <w:b/>
          <w:bCs/>
          <w:color w:val="000000"/>
        </w:rPr>
      </w:pPr>
      <w:r>
        <w:rPr>
          <w:b/>
          <w:bCs/>
          <w:color w:val="000000"/>
        </w:rPr>
        <w:t xml:space="preserve">Applications: </w:t>
      </w:r>
      <w:r>
        <w:rPr>
          <w:b/>
          <w:bCs/>
          <w:color w:val="000000"/>
        </w:rPr>
        <w:tab/>
      </w:r>
      <w:r w:rsidR="00DA2AD9">
        <w:rPr>
          <w:b/>
          <w:bCs/>
          <w:color w:val="000000"/>
        </w:rPr>
        <w:t>IHC,</w:t>
      </w:r>
      <w:r w:rsidR="001778C8">
        <w:rPr>
          <w:b/>
          <w:bCs/>
          <w:color w:val="000000"/>
        </w:rPr>
        <w:t xml:space="preserve"> </w:t>
      </w:r>
      <w:r w:rsidR="00267FB5">
        <w:rPr>
          <w:b/>
          <w:bCs/>
          <w:color w:val="000000"/>
        </w:rPr>
        <w:t>WB</w:t>
      </w:r>
      <w:r w:rsidR="001778C8">
        <w:rPr>
          <w:b/>
          <w:bCs/>
          <w:color w:val="000000"/>
        </w:rPr>
        <w:t>, and Blocking</w:t>
      </w:r>
    </w:p>
    <w:p w:rsidR="00772734" w:rsidRDefault="00772734" w:rsidP="00772734">
      <w:pPr>
        <w:autoSpaceDE w:val="0"/>
        <w:autoSpaceDN w:val="0"/>
        <w:adjustRightInd w:val="0"/>
        <w:ind w:left="720" w:firstLine="720"/>
        <w:jc w:val="both"/>
        <w:rPr>
          <w:b/>
          <w:bCs/>
          <w:color w:val="000000"/>
        </w:rPr>
      </w:pPr>
    </w:p>
    <w:p w:rsidR="00DA2AD9" w:rsidRDefault="00772734" w:rsidP="00DA2AD9">
      <w:pPr>
        <w:autoSpaceDE w:val="0"/>
        <w:autoSpaceDN w:val="0"/>
        <w:adjustRightInd w:val="0"/>
        <w:jc w:val="both"/>
        <w:rPr>
          <w:bCs/>
          <w:iCs/>
          <w:color w:val="000000"/>
        </w:rPr>
      </w:pPr>
      <w:r>
        <w:rPr>
          <w:b/>
          <w:bCs/>
          <w:i/>
          <w:iCs/>
          <w:color w:val="000000"/>
        </w:rPr>
        <w:t>Description:</w:t>
      </w:r>
      <w:r w:rsidR="0089216E">
        <w:rPr>
          <w:bCs/>
          <w:iCs/>
          <w:color w:val="000000"/>
        </w:rPr>
        <w:t xml:space="preserve"> </w:t>
      </w:r>
      <w:r w:rsidR="001778C8">
        <w:rPr>
          <w:bCs/>
          <w:iCs/>
          <w:color w:val="000000"/>
        </w:rPr>
        <w:t xml:space="preserve">Human IL-12 (p35) </w:t>
      </w:r>
      <w:r w:rsidR="001778C8" w:rsidRPr="001778C8">
        <w:rPr>
          <w:bCs/>
          <w:iCs/>
          <w:color w:val="000000"/>
        </w:rPr>
        <w:t>gene encodes a subunit of a cytokine that acts on T and natural killer cells, and has a broad array of biological activities. The cytokine is a disulfide-linked heterodimer composed of the 35-kD subunit encoded by this gene, and a 40-kD subunit that is a member of the cytokine receptor family. This cytokine is required for the T-cell-independent induction of interferon (IFN)-gamma, and is important for the differentiation of both Th1 and Th2 cells. The responses of lymphocytes to this cytokine are mediated by the activator of transcription protein STAT4. Nitric oxide synthase 2A (NOS2A/NOS2) is found to be required for the signaling process of this cytok</w:t>
      </w:r>
      <w:r w:rsidR="001778C8">
        <w:rPr>
          <w:bCs/>
          <w:iCs/>
          <w:color w:val="000000"/>
        </w:rPr>
        <w:t>ine in innate immunity.</w:t>
      </w:r>
    </w:p>
    <w:p w:rsidR="001778C8" w:rsidRDefault="001778C8" w:rsidP="00DA2AD9">
      <w:pPr>
        <w:autoSpaceDE w:val="0"/>
        <w:autoSpaceDN w:val="0"/>
        <w:adjustRightInd w:val="0"/>
        <w:jc w:val="both"/>
      </w:pPr>
    </w:p>
    <w:p w:rsidR="00772734" w:rsidRDefault="00772734" w:rsidP="00772734">
      <w:pPr>
        <w:rPr>
          <w:b/>
        </w:rPr>
      </w:pPr>
      <w:r>
        <w:rPr>
          <w:b/>
          <w:bCs/>
          <w:i/>
          <w:iCs/>
          <w:color w:val="000000"/>
        </w:rPr>
        <w:t xml:space="preserve">Preparation: </w:t>
      </w:r>
      <w:r>
        <w:rPr>
          <w:color w:val="000000"/>
        </w:rPr>
        <w:t xml:space="preserve">This antibody was produced from a </w:t>
      </w:r>
      <w:proofErr w:type="spellStart"/>
      <w:r>
        <w:rPr>
          <w:color w:val="000000"/>
        </w:rPr>
        <w:t>hybridoma</w:t>
      </w:r>
      <w:proofErr w:type="spellEnd"/>
      <w:r>
        <w:rPr>
          <w:color w:val="000000"/>
        </w:rPr>
        <w:t xml:space="preserve"> (</w:t>
      </w:r>
      <w:r w:rsidR="001778C8">
        <w:rPr>
          <w:color w:val="000000"/>
        </w:rPr>
        <w:t xml:space="preserve">mouse </w:t>
      </w:r>
      <w:r>
        <w:rPr>
          <w:color w:val="000000"/>
        </w:rPr>
        <w:t>myeloma fused with spleen cells from a</w:t>
      </w:r>
      <w:r w:rsidR="001C2936">
        <w:rPr>
          <w:color w:val="000000"/>
        </w:rPr>
        <w:t xml:space="preserve"> </w:t>
      </w:r>
      <w:r w:rsidR="001778C8">
        <w:rPr>
          <w:color w:val="000000"/>
        </w:rPr>
        <w:t>rat</w:t>
      </w:r>
      <w:r w:rsidR="001C2936">
        <w:rPr>
          <w:color w:val="000000"/>
        </w:rPr>
        <w:t xml:space="preserve"> </w:t>
      </w:r>
      <w:r>
        <w:rPr>
          <w:color w:val="000000"/>
        </w:rPr>
        <w:t xml:space="preserve">immunized with </w:t>
      </w:r>
      <w:r w:rsidR="00DA2AD9" w:rsidRPr="00DA2AD9">
        <w:rPr>
          <w:b/>
          <w:color w:val="000000"/>
        </w:rPr>
        <w:t xml:space="preserve">Recombinant </w:t>
      </w:r>
      <w:r w:rsidR="001778C8">
        <w:rPr>
          <w:b/>
          <w:color w:val="000000"/>
        </w:rPr>
        <w:t>human IL-12 (p35)</w:t>
      </w:r>
    </w:p>
    <w:p w:rsidR="00772734" w:rsidRDefault="00772734" w:rsidP="00772734"/>
    <w:p w:rsidR="00772734" w:rsidRDefault="00772734" w:rsidP="00772734">
      <w:pPr>
        <w:autoSpaceDE w:val="0"/>
        <w:autoSpaceDN w:val="0"/>
        <w:adjustRightInd w:val="0"/>
        <w:jc w:val="both"/>
        <w:rPr>
          <w:color w:val="000000"/>
        </w:rPr>
      </w:pPr>
      <w:r>
        <w:rPr>
          <w:b/>
          <w:bCs/>
          <w:i/>
          <w:iCs/>
          <w:color w:val="000000"/>
        </w:rPr>
        <w:t xml:space="preserve">Formulation: </w:t>
      </w:r>
      <w:r>
        <w:rPr>
          <w:color w:val="000000"/>
        </w:rPr>
        <w:t xml:space="preserve">The IgG fraction of </w:t>
      </w:r>
      <w:r>
        <w:rPr>
          <w:b/>
          <w:color w:val="000000"/>
        </w:rPr>
        <w:t>culture supernatant</w:t>
      </w:r>
      <w:r>
        <w:rPr>
          <w:color w:val="000000"/>
        </w:rPr>
        <w:t xml:space="preserve"> was purified by Protein A/G affinity chromatography and lyophilized from a 0.2 µm filtered solution in phosphate-buffered saline (PBS, </w:t>
      </w:r>
      <w:proofErr w:type="spellStart"/>
      <w:r>
        <w:rPr>
          <w:b/>
          <w:color w:val="000000"/>
        </w:rPr>
        <w:t>Azide</w:t>
      </w:r>
      <w:proofErr w:type="spellEnd"/>
      <w:r>
        <w:rPr>
          <w:b/>
          <w:color w:val="000000"/>
        </w:rPr>
        <w:t xml:space="preserve"> Free</w:t>
      </w:r>
      <w:r>
        <w:rPr>
          <w:color w:val="000000"/>
        </w:rPr>
        <w:t xml:space="preserve">). </w:t>
      </w:r>
    </w:p>
    <w:p w:rsidR="00772734" w:rsidRDefault="00772734" w:rsidP="00772734">
      <w:pPr>
        <w:autoSpaceDE w:val="0"/>
        <w:autoSpaceDN w:val="0"/>
        <w:adjustRightInd w:val="0"/>
        <w:jc w:val="both"/>
        <w:rPr>
          <w:color w:val="000000"/>
          <w:sz w:val="16"/>
          <w:szCs w:val="16"/>
        </w:rPr>
      </w:pPr>
    </w:p>
    <w:p w:rsidR="00772734" w:rsidRPr="00287285" w:rsidRDefault="00772734" w:rsidP="00772734">
      <w:pPr>
        <w:autoSpaceDE w:val="0"/>
        <w:autoSpaceDN w:val="0"/>
        <w:adjustRightInd w:val="0"/>
        <w:jc w:val="both"/>
        <w:rPr>
          <w:b/>
          <w:bCs/>
          <w:i/>
          <w:iCs/>
          <w:color w:val="000000"/>
        </w:rPr>
      </w:pPr>
      <w:r>
        <w:rPr>
          <w:b/>
          <w:bCs/>
          <w:i/>
          <w:iCs/>
          <w:color w:val="000000"/>
        </w:rPr>
        <w:t xml:space="preserve">Reconstitution: </w:t>
      </w:r>
      <w:r>
        <w:rPr>
          <w:color w:val="000000"/>
        </w:rPr>
        <w:t xml:space="preserve">Reconstitute the antibody with sterile PBS and the reconstituted antibody can be aliquoted and stored frozen at &lt; -20 for at least for six months without detectable loss of activity. </w:t>
      </w:r>
      <w:r>
        <w:rPr>
          <w:b/>
          <w:bCs/>
          <w:color w:val="000000"/>
        </w:rPr>
        <w:t xml:space="preserve">Avoid repeated freeze-thaw cycles. </w:t>
      </w:r>
      <w:r>
        <w:rPr>
          <w:color w:val="000000"/>
        </w:rPr>
        <w:t xml:space="preserve">Lyophilized samples are stable for 2 years from date of receipt when stored at -70°C. </w:t>
      </w:r>
    </w:p>
    <w:p w:rsidR="00772734" w:rsidRDefault="00772734" w:rsidP="00772734">
      <w:pPr>
        <w:autoSpaceDE w:val="0"/>
        <w:autoSpaceDN w:val="0"/>
        <w:adjustRightInd w:val="0"/>
        <w:jc w:val="both"/>
        <w:rPr>
          <w:b/>
          <w:bCs/>
          <w:color w:val="000000"/>
        </w:rPr>
      </w:pPr>
      <w:r>
        <w:rPr>
          <w:b/>
          <w:bCs/>
          <w:i/>
          <w:color w:val="000000"/>
        </w:rPr>
        <w:t>*Endotoxin Level:</w:t>
      </w:r>
      <w:r>
        <w:rPr>
          <w:b/>
          <w:bCs/>
          <w:color w:val="000000"/>
        </w:rPr>
        <w:tab/>
        <w:t>Extremely low level of LPS (&lt; 0.002EU/</w:t>
      </w:r>
      <w:r>
        <w:rPr>
          <w:rFonts w:ascii="Symbol" w:hAnsi="Symbol"/>
          <w:b/>
          <w:bCs/>
          <w:color w:val="000000"/>
        </w:rPr>
        <w:t></w:t>
      </w:r>
      <w:r>
        <w:rPr>
          <w:b/>
          <w:bCs/>
          <w:color w:val="000000"/>
        </w:rPr>
        <w:t>g IgG)</w:t>
      </w:r>
    </w:p>
    <w:p w:rsidR="00772734" w:rsidRDefault="00772734" w:rsidP="00772734">
      <w:pPr>
        <w:autoSpaceDE w:val="0"/>
        <w:autoSpaceDN w:val="0"/>
        <w:adjustRightInd w:val="0"/>
        <w:jc w:val="both"/>
        <w:rPr>
          <w:b/>
          <w:bCs/>
          <w:i/>
          <w:iCs/>
          <w:color w:val="000000"/>
        </w:rPr>
      </w:pPr>
    </w:p>
    <w:p w:rsidR="006E0270" w:rsidRDefault="006E0270" w:rsidP="006E0270">
      <w:pPr>
        <w:autoSpaceDE w:val="0"/>
        <w:autoSpaceDN w:val="0"/>
        <w:adjustRightInd w:val="0"/>
        <w:jc w:val="both"/>
        <w:rPr>
          <w:b/>
          <w:bCs/>
          <w:color w:val="000000"/>
        </w:rPr>
      </w:pPr>
      <w:r>
        <w:rPr>
          <w:b/>
          <w:bCs/>
          <w:i/>
          <w:iCs/>
          <w:color w:val="000000"/>
        </w:rPr>
        <w:t xml:space="preserve">Application(s): </w:t>
      </w:r>
    </w:p>
    <w:p w:rsidR="00772734" w:rsidRDefault="00772734" w:rsidP="00772734">
      <w:pPr>
        <w:autoSpaceDE w:val="0"/>
        <w:autoSpaceDN w:val="0"/>
        <w:adjustRightInd w:val="0"/>
        <w:jc w:val="both"/>
        <w:outlineLvl w:val="0"/>
        <w:rPr>
          <w:b/>
          <w:bCs/>
          <w:i/>
          <w:iCs/>
          <w:color w:val="000000"/>
        </w:rPr>
      </w:pPr>
    </w:p>
    <w:p w:rsidR="00772734" w:rsidRDefault="00772734" w:rsidP="00772734">
      <w:pPr>
        <w:autoSpaceDE w:val="0"/>
        <w:autoSpaceDN w:val="0"/>
        <w:adjustRightInd w:val="0"/>
        <w:jc w:val="both"/>
        <w:outlineLvl w:val="0"/>
        <w:rPr>
          <w:b/>
          <w:bCs/>
          <w:i/>
          <w:iCs/>
          <w:color w:val="000000"/>
        </w:rPr>
      </w:pPr>
    </w:p>
    <w:p w:rsidR="00287285" w:rsidRDefault="00DA2AD9" w:rsidP="00287285">
      <w:pPr>
        <w:numPr>
          <w:ilvl w:val="0"/>
          <w:numId w:val="6"/>
        </w:numPr>
        <w:tabs>
          <w:tab w:val="clear" w:pos="1080"/>
          <w:tab w:val="left" w:pos="1440"/>
        </w:tabs>
        <w:autoSpaceDE w:val="0"/>
        <w:autoSpaceDN w:val="0"/>
        <w:adjustRightInd w:val="0"/>
        <w:ind w:left="1440"/>
        <w:jc w:val="both"/>
        <w:rPr>
          <w:b/>
          <w:bCs/>
          <w:color w:val="000000"/>
        </w:rPr>
      </w:pPr>
      <w:r>
        <w:rPr>
          <w:b/>
          <w:bCs/>
          <w:color w:val="000000"/>
        </w:rPr>
        <w:t xml:space="preserve">IHC </w:t>
      </w:r>
    </w:p>
    <w:p w:rsidR="00267FB5" w:rsidRDefault="00DA2AD9" w:rsidP="00287285">
      <w:pPr>
        <w:numPr>
          <w:ilvl w:val="0"/>
          <w:numId w:val="6"/>
        </w:numPr>
        <w:tabs>
          <w:tab w:val="clear" w:pos="1080"/>
          <w:tab w:val="left" w:pos="1440"/>
        </w:tabs>
        <w:autoSpaceDE w:val="0"/>
        <w:autoSpaceDN w:val="0"/>
        <w:adjustRightInd w:val="0"/>
        <w:ind w:left="1440"/>
        <w:jc w:val="both"/>
        <w:rPr>
          <w:b/>
          <w:bCs/>
          <w:color w:val="000000"/>
        </w:rPr>
      </w:pPr>
      <w:r>
        <w:rPr>
          <w:b/>
          <w:bCs/>
          <w:color w:val="000000"/>
        </w:rPr>
        <w:t>WB</w:t>
      </w:r>
    </w:p>
    <w:p w:rsidR="00E57A6B" w:rsidRPr="00DA2AD9" w:rsidRDefault="001778C8" w:rsidP="00C275B2">
      <w:pPr>
        <w:numPr>
          <w:ilvl w:val="0"/>
          <w:numId w:val="6"/>
        </w:numPr>
        <w:tabs>
          <w:tab w:val="clear" w:pos="1080"/>
          <w:tab w:val="left" w:pos="1440"/>
        </w:tabs>
        <w:autoSpaceDE w:val="0"/>
        <w:autoSpaceDN w:val="0"/>
        <w:adjustRightInd w:val="0"/>
        <w:ind w:left="1440"/>
        <w:jc w:val="both"/>
        <w:rPr>
          <w:b/>
          <w:bCs/>
          <w:color w:val="000000"/>
        </w:rPr>
      </w:pPr>
      <w:r>
        <w:rPr>
          <w:b/>
          <w:bCs/>
          <w:color w:val="000000"/>
        </w:rPr>
        <w:t>Blocking (only</w:t>
      </w:r>
      <w:r w:rsidR="00774B7C">
        <w:rPr>
          <w:b/>
          <w:bCs/>
          <w:color w:val="000000"/>
        </w:rPr>
        <w:t xml:space="preserve"> in</w:t>
      </w:r>
      <w:r>
        <w:rPr>
          <w:b/>
          <w:bCs/>
          <w:color w:val="000000"/>
        </w:rPr>
        <w:t xml:space="preserve"> the form of human IL-12 p75)</w:t>
      </w:r>
      <w:r w:rsidR="00DA2AD9" w:rsidRPr="00DA2AD9">
        <w:rPr>
          <w:b/>
          <w:bCs/>
          <w:color w:val="000000"/>
        </w:rPr>
        <w:t xml:space="preserve"> </w:t>
      </w:r>
    </w:p>
    <w:p w:rsidR="00112C4D" w:rsidRDefault="00112C4D" w:rsidP="00C275B2">
      <w:pPr>
        <w:tabs>
          <w:tab w:val="left" w:pos="1440"/>
        </w:tabs>
        <w:autoSpaceDE w:val="0"/>
        <w:autoSpaceDN w:val="0"/>
        <w:adjustRightInd w:val="0"/>
        <w:ind w:left="1440"/>
        <w:jc w:val="both"/>
        <w:rPr>
          <w:b/>
          <w:bCs/>
          <w:color w:val="000000"/>
        </w:rPr>
      </w:pPr>
    </w:p>
    <w:p w:rsidR="00772734" w:rsidRDefault="00772734" w:rsidP="00772734">
      <w:pPr>
        <w:autoSpaceDE w:val="0"/>
        <w:autoSpaceDN w:val="0"/>
        <w:adjustRightInd w:val="0"/>
        <w:jc w:val="both"/>
        <w:rPr>
          <w:b/>
          <w:sz w:val="20"/>
          <w:szCs w:val="20"/>
        </w:rPr>
      </w:pPr>
    </w:p>
    <w:p w:rsidR="00DA2AD9" w:rsidRDefault="00DA2AD9" w:rsidP="00772734">
      <w:pPr>
        <w:autoSpaceDE w:val="0"/>
        <w:autoSpaceDN w:val="0"/>
        <w:adjustRightInd w:val="0"/>
        <w:jc w:val="both"/>
      </w:pPr>
    </w:p>
    <w:p w:rsidR="00E57A6B" w:rsidRDefault="00E57A6B" w:rsidP="00772734">
      <w:pPr>
        <w:autoSpaceDE w:val="0"/>
        <w:autoSpaceDN w:val="0"/>
        <w:adjustRightInd w:val="0"/>
        <w:jc w:val="both"/>
      </w:pPr>
    </w:p>
    <w:p w:rsidR="00E57A6B" w:rsidRDefault="00E57A6B" w:rsidP="00772734">
      <w:pPr>
        <w:autoSpaceDE w:val="0"/>
        <w:autoSpaceDN w:val="0"/>
        <w:adjustRightInd w:val="0"/>
        <w:jc w:val="both"/>
        <w:rPr>
          <w:b/>
          <w:sz w:val="20"/>
          <w:szCs w:val="20"/>
        </w:rPr>
      </w:pPr>
    </w:p>
    <w:p w:rsidR="00772734" w:rsidRDefault="00772734" w:rsidP="00772734">
      <w:pPr>
        <w:autoSpaceDE w:val="0"/>
        <w:autoSpaceDN w:val="0"/>
        <w:adjustRightInd w:val="0"/>
        <w:jc w:val="both"/>
        <w:rPr>
          <w:b/>
          <w:sz w:val="20"/>
          <w:szCs w:val="20"/>
        </w:rPr>
      </w:pPr>
    </w:p>
    <w:p w:rsidR="00FD24E7" w:rsidRDefault="00772734" w:rsidP="00772734">
      <w:pPr>
        <w:autoSpaceDE w:val="0"/>
        <w:autoSpaceDN w:val="0"/>
        <w:adjustRightInd w:val="0"/>
        <w:jc w:val="center"/>
        <w:rPr>
          <w:b/>
          <w:sz w:val="20"/>
          <w:szCs w:val="20"/>
        </w:rPr>
      </w:pPr>
      <w:r>
        <w:rPr>
          <w:b/>
          <w:sz w:val="20"/>
          <w:szCs w:val="20"/>
        </w:rPr>
        <w:t>* The antibody is produced by in vitro culture</w:t>
      </w:r>
      <w:r w:rsidR="006E0270">
        <w:rPr>
          <w:b/>
          <w:sz w:val="20"/>
          <w:szCs w:val="20"/>
        </w:rPr>
        <w:t xml:space="preserve"> and for research use only</w:t>
      </w:r>
    </w:p>
    <w:p w:rsidR="00E041FB" w:rsidRPr="00E041FB" w:rsidRDefault="00E041FB" w:rsidP="00E041FB">
      <w:pPr>
        <w:autoSpaceDE w:val="0"/>
        <w:autoSpaceDN w:val="0"/>
        <w:adjustRightInd w:val="0"/>
        <w:jc w:val="center"/>
        <w:outlineLvl w:val="0"/>
        <w:rPr>
          <w:rFonts w:ascii="Tahoma" w:hAnsi="Tahoma" w:cs="Tahoma"/>
          <w:b/>
          <w:bCs/>
          <w:iCs/>
          <w:color w:val="000000"/>
          <w:sz w:val="16"/>
          <w:szCs w:val="16"/>
        </w:rPr>
      </w:pPr>
      <w:bookmarkStart w:id="0" w:name="_GoBack"/>
      <w:r w:rsidRPr="00E041FB">
        <w:rPr>
          <w:rFonts w:ascii="Tahoma" w:hAnsi="Tahoma" w:cs="Tahoma"/>
          <w:b/>
          <w:bCs/>
          <w:iCs/>
          <w:color w:val="000000"/>
          <w:sz w:val="16"/>
          <w:szCs w:val="16"/>
        </w:rPr>
        <w:lastRenderedPageBreak/>
        <w:t>Rat monoclonal anti human IL-12 (p35)</w:t>
      </w:r>
    </w:p>
    <w:p w:rsidR="00E041FB" w:rsidRPr="00E041FB" w:rsidRDefault="00E041FB" w:rsidP="00E041FB">
      <w:pPr>
        <w:autoSpaceDE w:val="0"/>
        <w:autoSpaceDN w:val="0"/>
        <w:adjustRightInd w:val="0"/>
        <w:jc w:val="center"/>
        <w:outlineLvl w:val="0"/>
        <w:rPr>
          <w:rFonts w:ascii="Tahoma" w:hAnsi="Tahoma" w:cs="Tahoma"/>
          <w:b/>
          <w:bCs/>
          <w:iCs/>
          <w:color w:val="000000"/>
          <w:sz w:val="16"/>
          <w:szCs w:val="16"/>
          <w:u w:val="single"/>
        </w:rPr>
      </w:pPr>
      <w:r w:rsidRPr="00E041FB">
        <w:rPr>
          <w:rFonts w:ascii="Tahoma" w:hAnsi="Tahoma" w:cs="Tahoma"/>
          <w:b/>
          <w:bCs/>
          <w:iCs/>
          <w:color w:val="000000"/>
          <w:sz w:val="16"/>
          <w:szCs w:val="16"/>
          <w:u w:val="single"/>
        </w:rPr>
        <w:t>(</w:t>
      </w:r>
      <w:proofErr w:type="spellStart"/>
      <w:r w:rsidRPr="00E041FB">
        <w:rPr>
          <w:rFonts w:ascii="Tahoma" w:hAnsi="Tahoma" w:cs="Tahoma"/>
          <w:b/>
          <w:bCs/>
          <w:iCs/>
          <w:color w:val="000000"/>
          <w:sz w:val="16"/>
          <w:szCs w:val="16"/>
          <w:u w:val="single"/>
        </w:rPr>
        <w:t>Azide</w:t>
      </w:r>
      <w:proofErr w:type="spellEnd"/>
      <w:r w:rsidRPr="00E041FB">
        <w:rPr>
          <w:rFonts w:ascii="Tahoma" w:hAnsi="Tahoma" w:cs="Tahoma"/>
          <w:b/>
          <w:bCs/>
          <w:iCs/>
          <w:color w:val="000000"/>
          <w:sz w:val="16"/>
          <w:szCs w:val="16"/>
          <w:u w:val="single"/>
        </w:rPr>
        <w:t>-free &amp; Low endotoxin)</w:t>
      </w:r>
    </w:p>
    <w:p w:rsidR="00E041FB" w:rsidRPr="00E041FB" w:rsidRDefault="00E041FB" w:rsidP="00E041FB">
      <w:pPr>
        <w:autoSpaceDE w:val="0"/>
        <w:autoSpaceDN w:val="0"/>
        <w:adjustRightInd w:val="0"/>
        <w:jc w:val="both"/>
        <w:outlineLvl w:val="0"/>
        <w:rPr>
          <w:rFonts w:ascii="Tahoma" w:hAnsi="Tahoma" w:cs="Tahoma"/>
          <w:b/>
          <w:bCs/>
          <w:color w:val="000000"/>
          <w:sz w:val="16"/>
          <w:szCs w:val="16"/>
        </w:rPr>
      </w:pPr>
      <w:r w:rsidRPr="00E041FB">
        <w:rPr>
          <w:rFonts w:ascii="Tahoma" w:hAnsi="Tahoma" w:cs="Tahoma"/>
          <w:b/>
          <w:bCs/>
          <w:color w:val="000000"/>
          <w:sz w:val="16"/>
          <w:szCs w:val="16"/>
        </w:rPr>
        <w:t>ORDERING INFORMATION</w:t>
      </w:r>
    </w:p>
    <w:p w:rsidR="00E041FB" w:rsidRPr="00E041FB" w:rsidRDefault="00E041FB" w:rsidP="00E041FB">
      <w:pPr>
        <w:autoSpaceDE w:val="0"/>
        <w:autoSpaceDN w:val="0"/>
        <w:adjustRightInd w:val="0"/>
        <w:jc w:val="both"/>
        <w:outlineLvl w:val="0"/>
        <w:rPr>
          <w:rFonts w:ascii="Tahoma" w:hAnsi="Tahoma" w:cs="Tahoma"/>
          <w:b/>
          <w:bCs/>
          <w:color w:val="000000"/>
          <w:sz w:val="16"/>
          <w:szCs w:val="16"/>
        </w:rPr>
      </w:pPr>
      <w:r w:rsidRPr="00E041FB">
        <w:rPr>
          <w:rFonts w:ascii="Tahoma" w:hAnsi="Tahoma" w:cs="Tahoma"/>
          <w:b/>
          <w:bCs/>
          <w:color w:val="000000"/>
          <w:sz w:val="16"/>
          <w:szCs w:val="16"/>
        </w:rPr>
        <w:tab/>
      </w:r>
      <w:r w:rsidRPr="00E041FB">
        <w:rPr>
          <w:rFonts w:ascii="Tahoma" w:hAnsi="Tahoma" w:cs="Tahoma"/>
          <w:b/>
          <w:bCs/>
          <w:color w:val="000000"/>
          <w:sz w:val="16"/>
          <w:szCs w:val="16"/>
        </w:rPr>
        <w:tab/>
        <w:t xml:space="preserve">Catalog Number: </w:t>
      </w:r>
      <w:r w:rsidRPr="00E041FB">
        <w:rPr>
          <w:rFonts w:ascii="Tahoma" w:hAnsi="Tahoma" w:cs="Tahoma"/>
          <w:b/>
          <w:bCs/>
          <w:color w:val="000000"/>
          <w:sz w:val="16"/>
          <w:szCs w:val="16"/>
        </w:rPr>
        <w:tab/>
      </w:r>
      <w:r>
        <w:rPr>
          <w:rFonts w:ascii="Tahoma" w:hAnsi="Tahoma" w:cs="Tahoma"/>
          <w:b/>
          <w:bCs/>
          <w:color w:val="000000"/>
          <w:sz w:val="16"/>
          <w:szCs w:val="16"/>
        </w:rPr>
        <w:tab/>
      </w:r>
      <w:r w:rsidRPr="00E041FB">
        <w:rPr>
          <w:rFonts w:ascii="Tahoma" w:hAnsi="Tahoma" w:cs="Tahoma"/>
          <w:b/>
          <w:bCs/>
          <w:color w:val="000000"/>
          <w:sz w:val="16"/>
          <w:szCs w:val="16"/>
        </w:rPr>
        <w:t>gAP-0210</w:t>
      </w:r>
    </w:p>
    <w:p w:rsidR="00E041FB" w:rsidRPr="00E041FB" w:rsidRDefault="00E041FB" w:rsidP="00E041FB">
      <w:pPr>
        <w:autoSpaceDE w:val="0"/>
        <w:autoSpaceDN w:val="0"/>
        <w:adjustRightInd w:val="0"/>
        <w:jc w:val="both"/>
        <w:rPr>
          <w:rFonts w:ascii="Tahoma" w:hAnsi="Tahoma" w:cs="Tahoma"/>
          <w:b/>
          <w:bCs/>
          <w:color w:val="000000"/>
          <w:sz w:val="16"/>
          <w:szCs w:val="16"/>
        </w:rPr>
      </w:pPr>
      <w:r w:rsidRPr="00E041FB">
        <w:rPr>
          <w:rFonts w:ascii="Tahoma" w:hAnsi="Tahoma" w:cs="Tahoma"/>
          <w:b/>
          <w:bCs/>
          <w:color w:val="000000"/>
          <w:sz w:val="16"/>
          <w:szCs w:val="16"/>
        </w:rPr>
        <w:tab/>
      </w:r>
      <w:r w:rsidRPr="00E041FB">
        <w:rPr>
          <w:rFonts w:ascii="Tahoma" w:hAnsi="Tahoma" w:cs="Tahoma"/>
          <w:b/>
          <w:bCs/>
          <w:color w:val="000000"/>
          <w:sz w:val="16"/>
          <w:szCs w:val="16"/>
        </w:rPr>
        <w:tab/>
        <w:t xml:space="preserve">Size: </w:t>
      </w:r>
      <w:r w:rsidRPr="00E041FB">
        <w:rPr>
          <w:rFonts w:ascii="Tahoma" w:hAnsi="Tahoma" w:cs="Tahoma"/>
          <w:b/>
          <w:bCs/>
          <w:color w:val="000000"/>
          <w:sz w:val="16"/>
          <w:szCs w:val="16"/>
        </w:rPr>
        <w:tab/>
      </w:r>
      <w:r w:rsidRPr="00E041FB">
        <w:rPr>
          <w:rFonts w:ascii="Tahoma" w:hAnsi="Tahoma" w:cs="Tahoma"/>
          <w:b/>
          <w:bCs/>
          <w:color w:val="000000"/>
          <w:sz w:val="16"/>
          <w:szCs w:val="16"/>
        </w:rPr>
        <w:tab/>
      </w:r>
      <w:r w:rsidRPr="00E041FB">
        <w:rPr>
          <w:rFonts w:ascii="Tahoma" w:hAnsi="Tahoma" w:cs="Tahoma"/>
          <w:b/>
          <w:bCs/>
          <w:color w:val="000000"/>
          <w:sz w:val="16"/>
          <w:szCs w:val="16"/>
        </w:rPr>
        <w:tab/>
      </w:r>
      <w:r w:rsidRPr="00E041FB">
        <w:rPr>
          <w:rFonts w:ascii="Tahoma" w:hAnsi="Tahoma" w:cs="Tahoma"/>
          <w:b/>
          <w:color w:val="000000"/>
          <w:sz w:val="16"/>
          <w:szCs w:val="16"/>
        </w:rPr>
        <w:t>1.00 mg</w:t>
      </w:r>
    </w:p>
    <w:p w:rsidR="00E041FB" w:rsidRPr="00E041FB" w:rsidRDefault="00E041FB" w:rsidP="00E041FB">
      <w:pPr>
        <w:autoSpaceDE w:val="0"/>
        <w:autoSpaceDN w:val="0"/>
        <w:adjustRightInd w:val="0"/>
        <w:jc w:val="both"/>
        <w:rPr>
          <w:rFonts w:ascii="Tahoma" w:hAnsi="Tahoma" w:cs="Tahoma"/>
          <w:b/>
          <w:color w:val="000000"/>
          <w:sz w:val="16"/>
          <w:szCs w:val="16"/>
        </w:rPr>
      </w:pPr>
      <w:r w:rsidRPr="00E041FB">
        <w:rPr>
          <w:rFonts w:ascii="Tahoma" w:hAnsi="Tahoma" w:cs="Tahoma"/>
          <w:b/>
          <w:bCs/>
          <w:color w:val="000000"/>
          <w:sz w:val="16"/>
          <w:szCs w:val="16"/>
        </w:rPr>
        <w:tab/>
      </w:r>
      <w:r w:rsidRPr="00E041FB">
        <w:rPr>
          <w:rFonts w:ascii="Tahoma" w:hAnsi="Tahoma" w:cs="Tahoma"/>
          <w:b/>
          <w:bCs/>
          <w:color w:val="000000"/>
          <w:sz w:val="16"/>
          <w:szCs w:val="16"/>
        </w:rPr>
        <w:tab/>
        <w:t xml:space="preserve">Storage: </w:t>
      </w:r>
      <w:r w:rsidRPr="00E041FB">
        <w:rPr>
          <w:rFonts w:ascii="Tahoma" w:hAnsi="Tahoma" w:cs="Tahoma"/>
          <w:b/>
          <w:bCs/>
          <w:color w:val="000000"/>
          <w:sz w:val="16"/>
          <w:szCs w:val="16"/>
        </w:rPr>
        <w:tab/>
      </w:r>
      <w:r w:rsidRPr="00E041FB">
        <w:rPr>
          <w:rFonts w:ascii="Tahoma" w:hAnsi="Tahoma" w:cs="Tahoma"/>
          <w:b/>
          <w:bCs/>
          <w:color w:val="000000"/>
          <w:sz w:val="16"/>
          <w:szCs w:val="16"/>
        </w:rPr>
        <w:tab/>
      </w:r>
      <w:r w:rsidRPr="00E041FB">
        <w:rPr>
          <w:rFonts w:ascii="Tahoma" w:hAnsi="Tahoma" w:cs="Tahoma"/>
          <w:b/>
          <w:color w:val="000000"/>
          <w:sz w:val="16"/>
          <w:szCs w:val="16"/>
        </w:rPr>
        <w:t>&lt; -20° C</w:t>
      </w:r>
    </w:p>
    <w:p w:rsidR="00E041FB" w:rsidRPr="00E041FB" w:rsidRDefault="00E041FB" w:rsidP="00E041FB">
      <w:pPr>
        <w:ind w:left="720" w:firstLine="720"/>
        <w:rPr>
          <w:rFonts w:ascii="Tahoma" w:hAnsi="Tahoma" w:cs="Tahoma"/>
          <w:b/>
          <w:bCs/>
          <w:color w:val="000000"/>
          <w:sz w:val="16"/>
          <w:szCs w:val="16"/>
        </w:rPr>
      </w:pPr>
      <w:r w:rsidRPr="00E041FB">
        <w:rPr>
          <w:rFonts w:ascii="Tahoma" w:hAnsi="Tahoma" w:cs="Tahoma"/>
          <w:b/>
          <w:bCs/>
          <w:color w:val="000000"/>
          <w:sz w:val="16"/>
          <w:szCs w:val="16"/>
        </w:rPr>
        <w:t xml:space="preserve">Immunogen: </w:t>
      </w:r>
      <w:r w:rsidRPr="00E041FB">
        <w:rPr>
          <w:rFonts w:ascii="Tahoma" w:hAnsi="Tahoma" w:cs="Tahoma"/>
          <w:b/>
          <w:bCs/>
          <w:color w:val="000000"/>
          <w:sz w:val="16"/>
          <w:szCs w:val="16"/>
        </w:rPr>
        <w:tab/>
      </w:r>
      <w:r w:rsidRPr="00E041FB">
        <w:rPr>
          <w:rFonts w:ascii="Tahoma" w:hAnsi="Tahoma" w:cs="Tahoma"/>
          <w:b/>
          <w:bCs/>
          <w:color w:val="000000"/>
          <w:sz w:val="16"/>
          <w:szCs w:val="16"/>
        </w:rPr>
        <w:tab/>
        <w:t>Recombinant human IL-12 (p35)</w:t>
      </w:r>
    </w:p>
    <w:p w:rsidR="00E041FB" w:rsidRPr="00E041FB" w:rsidRDefault="00E041FB" w:rsidP="00E041FB">
      <w:pPr>
        <w:ind w:left="720" w:firstLine="720"/>
        <w:rPr>
          <w:rFonts w:ascii="Tahoma" w:hAnsi="Tahoma" w:cs="Tahoma"/>
          <w:b/>
          <w:sz w:val="16"/>
          <w:szCs w:val="16"/>
        </w:rPr>
      </w:pPr>
      <w:r w:rsidRPr="00E041FB">
        <w:rPr>
          <w:rFonts w:ascii="Tahoma" w:hAnsi="Tahoma" w:cs="Tahoma"/>
          <w:b/>
          <w:bCs/>
          <w:color w:val="000000"/>
          <w:sz w:val="16"/>
          <w:szCs w:val="16"/>
        </w:rPr>
        <w:t xml:space="preserve">Ig Type: </w:t>
      </w:r>
      <w:r w:rsidRPr="00E041FB">
        <w:rPr>
          <w:rFonts w:ascii="Tahoma" w:hAnsi="Tahoma" w:cs="Tahoma"/>
          <w:b/>
          <w:bCs/>
          <w:color w:val="000000"/>
          <w:sz w:val="16"/>
          <w:szCs w:val="16"/>
        </w:rPr>
        <w:tab/>
      </w:r>
      <w:r w:rsidRPr="00E041FB">
        <w:rPr>
          <w:rFonts w:ascii="Tahoma" w:hAnsi="Tahoma" w:cs="Tahoma"/>
          <w:b/>
          <w:bCs/>
          <w:color w:val="000000"/>
          <w:sz w:val="16"/>
          <w:szCs w:val="16"/>
        </w:rPr>
        <w:tab/>
      </w:r>
      <w:r>
        <w:rPr>
          <w:rFonts w:ascii="Tahoma" w:hAnsi="Tahoma" w:cs="Tahoma"/>
          <w:b/>
          <w:bCs/>
          <w:color w:val="000000"/>
          <w:sz w:val="16"/>
          <w:szCs w:val="16"/>
        </w:rPr>
        <w:tab/>
      </w:r>
      <w:r w:rsidRPr="00E041FB">
        <w:rPr>
          <w:rFonts w:ascii="Tahoma" w:hAnsi="Tahoma" w:cs="Tahoma"/>
          <w:b/>
          <w:bCs/>
          <w:color w:val="000000"/>
          <w:sz w:val="16"/>
          <w:szCs w:val="16"/>
        </w:rPr>
        <w:t>Rat IgG1</w:t>
      </w:r>
    </w:p>
    <w:p w:rsidR="00E041FB" w:rsidRPr="00E041FB" w:rsidRDefault="00E041FB" w:rsidP="00E041FB">
      <w:pPr>
        <w:autoSpaceDE w:val="0"/>
        <w:autoSpaceDN w:val="0"/>
        <w:adjustRightInd w:val="0"/>
        <w:jc w:val="both"/>
        <w:rPr>
          <w:rFonts w:ascii="Tahoma" w:hAnsi="Tahoma" w:cs="Tahoma"/>
          <w:b/>
          <w:color w:val="000000"/>
          <w:sz w:val="16"/>
          <w:szCs w:val="16"/>
        </w:rPr>
      </w:pPr>
      <w:r w:rsidRPr="00E041FB">
        <w:rPr>
          <w:rFonts w:ascii="Tahoma" w:hAnsi="Tahoma" w:cs="Tahoma"/>
          <w:b/>
          <w:color w:val="000000"/>
          <w:sz w:val="16"/>
          <w:szCs w:val="16"/>
        </w:rPr>
        <w:tab/>
      </w:r>
      <w:r w:rsidRPr="00E041FB">
        <w:rPr>
          <w:rFonts w:ascii="Tahoma" w:hAnsi="Tahoma" w:cs="Tahoma"/>
          <w:b/>
          <w:color w:val="000000"/>
          <w:sz w:val="16"/>
          <w:szCs w:val="16"/>
        </w:rPr>
        <w:tab/>
        <w:t>Clone</w:t>
      </w:r>
      <w:r w:rsidRPr="00E041FB">
        <w:rPr>
          <w:rFonts w:ascii="Tahoma" w:hAnsi="Tahoma" w:cs="Tahoma"/>
          <w:b/>
          <w:color w:val="000000"/>
          <w:sz w:val="16"/>
          <w:szCs w:val="16"/>
        </w:rPr>
        <w:tab/>
      </w:r>
      <w:r w:rsidRPr="00E041FB">
        <w:rPr>
          <w:rFonts w:ascii="Tahoma" w:hAnsi="Tahoma" w:cs="Tahoma"/>
          <w:b/>
          <w:color w:val="000000"/>
          <w:sz w:val="16"/>
          <w:szCs w:val="16"/>
        </w:rPr>
        <w:tab/>
      </w:r>
      <w:r w:rsidRPr="00E041FB">
        <w:rPr>
          <w:rFonts w:ascii="Tahoma" w:hAnsi="Tahoma" w:cs="Tahoma"/>
          <w:b/>
          <w:color w:val="000000"/>
          <w:sz w:val="16"/>
          <w:szCs w:val="16"/>
        </w:rPr>
        <w:tab/>
        <w:t>AP-MAB1610</w:t>
      </w:r>
    </w:p>
    <w:p w:rsidR="00E041FB" w:rsidRPr="00E041FB" w:rsidRDefault="00E041FB" w:rsidP="00E041FB">
      <w:pPr>
        <w:autoSpaceDE w:val="0"/>
        <w:autoSpaceDN w:val="0"/>
        <w:adjustRightInd w:val="0"/>
        <w:ind w:left="720" w:firstLine="720"/>
        <w:jc w:val="both"/>
        <w:rPr>
          <w:rFonts w:ascii="Tahoma" w:hAnsi="Tahoma" w:cs="Tahoma"/>
          <w:b/>
          <w:bCs/>
          <w:color w:val="000000"/>
          <w:sz w:val="16"/>
          <w:szCs w:val="16"/>
        </w:rPr>
      </w:pPr>
      <w:r w:rsidRPr="00E041FB">
        <w:rPr>
          <w:rFonts w:ascii="Tahoma" w:hAnsi="Tahoma" w:cs="Tahoma"/>
          <w:b/>
          <w:bCs/>
          <w:color w:val="000000"/>
          <w:sz w:val="16"/>
          <w:szCs w:val="16"/>
        </w:rPr>
        <w:t>Endotoxin Level</w:t>
      </w:r>
      <w:r w:rsidRPr="00E041FB">
        <w:rPr>
          <w:rFonts w:ascii="Tahoma" w:hAnsi="Tahoma" w:cs="Tahoma"/>
          <w:b/>
          <w:bCs/>
          <w:color w:val="000000"/>
          <w:sz w:val="16"/>
          <w:szCs w:val="16"/>
        </w:rPr>
        <w:tab/>
      </w:r>
      <w:r>
        <w:rPr>
          <w:rFonts w:ascii="Tahoma" w:hAnsi="Tahoma" w:cs="Tahoma"/>
          <w:b/>
          <w:bCs/>
          <w:color w:val="000000"/>
          <w:sz w:val="16"/>
          <w:szCs w:val="16"/>
        </w:rPr>
        <w:tab/>
      </w:r>
      <w:r w:rsidRPr="00E041FB">
        <w:rPr>
          <w:rFonts w:ascii="Tahoma" w:hAnsi="Tahoma" w:cs="Tahoma"/>
          <w:b/>
          <w:bCs/>
          <w:color w:val="000000"/>
          <w:sz w:val="16"/>
          <w:szCs w:val="16"/>
        </w:rPr>
        <w:t>&lt; 0.002EU/</w:t>
      </w:r>
      <w:proofErr w:type="spellStart"/>
      <w:r>
        <w:rPr>
          <w:rFonts w:ascii="Tahoma" w:hAnsi="Tahoma" w:cs="Tahoma"/>
          <w:b/>
          <w:bCs/>
          <w:color w:val="000000"/>
          <w:sz w:val="16"/>
          <w:szCs w:val="16"/>
        </w:rPr>
        <w:t>u</w:t>
      </w:r>
      <w:r w:rsidRPr="00E041FB">
        <w:rPr>
          <w:rFonts w:ascii="Tahoma" w:hAnsi="Tahoma" w:cs="Tahoma"/>
          <w:b/>
          <w:bCs/>
          <w:color w:val="000000"/>
          <w:sz w:val="16"/>
          <w:szCs w:val="16"/>
        </w:rPr>
        <w:t>g</w:t>
      </w:r>
      <w:proofErr w:type="spellEnd"/>
      <w:r w:rsidRPr="00E041FB">
        <w:rPr>
          <w:rFonts w:ascii="Tahoma" w:hAnsi="Tahoma" w:cs="Tahoma"/>
          <w:b/>
          <w:bCs/>
          <w:color w:val="000000"/>
          <w:sz w:val="16"/>
          <w:szCs w:val="16"/>
        </w:rPr>
        <w:t xml:space="preserve"> IgG*</w:t>
      </w:r>
    </w:p>
    <w:p w:rsidR="00E041FB" w:rsidRPr="00E041FB" w:rsidRDefault="00E041FB" w:rsidP="00E041FB">
      <w:pPr>
        <w:autoSpaceDE w:val="0"/>
        <w:autoSpaceDN w:val="0"/>
        <w:adjustRightInd w:val="0"/>
        <w:ind w:left="3600" w:hanging="2160"/>
        <w:jc w:val="both"/>
        <w:rPr>
          <w:rFonts w:ascii="Tahoma" w:hAnsi="Tahoma" w:cs="Tahoma"/>
          <w:b/>
          <w:bCs/>
          <w:color w:val="000000"/>
          <w:sz w:val="16"/>
          <w:szCs w:val="16"/>
        </w:rPr>
      </w:pPr>
      <w:r w:rsidRPr="00E041FB">
        <w:rPr>
          <w:rFonts w:ascii="Tahoma" w:hAnsi="Tahoma" w:cs="Tahoma"/>
          <w:b/>
          <w:bCs/>
          <w:color w:val="000000"/>
          <w:sz w:val="16"/>
          <w:szCs w:val="16"/>
        </w:rPr>
        <w:t xml:space="preserve">Applications: </w:t>
      </w:r>
      <w:r w:rsidRPr="00E041FB">
        <w:rPr>
          <w:rFonts w:ascii="Tahoma" w:hAnsi="Tahoma" w:cs="Tahoma"/>
          <w:b/>
          <w:bCs/>
          <w:color w:val="000000"/>
          <w:sz w:val="16"/>
          <w:szCs w:val="16"/>
        </w:rPr>
        <w:tab/>
        <w:t>IHC, WB, and Blocking</w:t>
      </w:r>
    </w:p>
    <w:p w:rsidR="00E041FB" w:rsidRPr="00E041FB" w:rsidRDefault="00E041FB" w:rsidP="00E041FB">
      <w:pPr>
        <w:autoSpaceDE w:val="0"/>
        <w:autoSpaceDN w:val="0"/>
        <w:adjustRightInd w:val="0"/>
        <w:jc w:val="both"/>
        <w:rPr>
          <w:rFonts w:ascii="Tahoma" w:hAnsi="Tahoma" w:cs="Tahoma"/>
          <w:bCs/>
          <w:iCs/>
          <w:color w:val="000000"/>
          <w:sz w:val="16"/>
          <w:szCs w:val="16"/>
        </w:rPr>
      </w:pPr>
      <w:r w:rsidRPr="00E041FB">
        <w:rPr>
          <w:rFonts w:ascii="Tahoma" w:hAnsi="Tahoma" w:cs="Tahoma"/>
          <w:b/>
          <w:bCs/>
          <w:i/>
          <w:iCs/>
          <w:color w:val="000000"/>
          <w:sz w:val="16"/>
          <w:szCs w:val="16"/>
        </w:rPr>
        <w:t>Description:</w:t>
      </w:r>
      <w:r w:rsidRPr="00E041FB">
        <w:rPr>
          <w:rFonts w:ascii="Tahoma" w:hAnsi="Tahoma" w:cs="Tahoma"/>
          <w:bCs/>
          <w:iCs/>
          <w:color w:val="000000"/>
          <w:sz w:val="16"/>
          <w:szCs w:val="16"/>
        </w:rPr>
        <w:t xml:space="preserve"> Human IL-12 (p35) gene encodes a subunit of a cytokine that acts on T and natural killer cells, and has a broad array of biological activities. The cytokine is a disulfide-linked heterodimer composed of the 35-kD subunit encoded by this gene, and a 40-kD subunit that is a member of the cytokine receptor family. This cytokine is required for the T-cell-independent induction of interferon (IFN)-gamma, and is important for the differentiation of both Th1 and Th2 cells. The responses of lymphocytes to this cytokine are mediated by the activator of transcription protein STAT4. Nitric oxide synthase 2A (NOS2A/NOS2) is found to be required for the signaling process of this cytokine in innate immunity.</w:t>
      </w:r>
    </w:p>
    <w:p w:rsidR="00E041FB" w:rsidRPr="00E041FB" w:rsidRDefault="00E041FB" w:rsidP="00E041FB">
      <w:pPr>
        <w:rPr>
          <w:rFonts w:ascii="Tahoma" w:hAnsi="Tahoma" w:cs="Tahoma"/>
          <w:b/>
          <w:sz w:val="16"/>
          <w:szCs w:val="16"/>
        </w:rPr>
      </w:pPr>
      <w:r w:rsidRPr="00E041FB">
        <w:rPr>
          <w:rFonts w:ascii="Tahoma" w:hAnsi="Tahoma" w:cs="Tahoma"/>
          <w:b/>
          <w:bCs/>
          <w:i/>
          <w:iCs/>
          <w:color w:val="000000"/>
          <w:sz w:val="16"/>
          <w:szCs w:val="16"/>
        </w:rPr>
        <w:t xml:space="preserve">Preparation: </w:t>
      </w:r>
      <w:r w:rsidRPr="00E041FB">
        <w:rPr>
          <w:rFonts w:ascii="Tahoma" w:hAnsi="Tahoma" w:cs="Tahoma"/>
          <w:color w:val="000000"/>
          <w:sz w:val="16"/>
          <w:szCs w:val="16"/>
        </w:rPr>
        <w:t xml:space="preserve">This antibody was produced from a </w:t>
      </w:r>
      <w:proofErr w:type="spellStart"/>
      <w:r w:rsidRPr="00E041FB">
        <w:rPr>
          <w:rFonts w:ascii="Tahoma" w:hAnsi="Tahoma" w:cs="Tahoma"/>
          <w:color w:val="000000"/>
          <w:sz w:val="16"/>
          <w:szCs w:val="16"/>
        </w:rPr>
        <w:t>hybridoma</w:t>
      </w:r>
      <w:proofErr w:type="spellEnd"/>
      <w:r w:rsidRPr="00E041FB">
        <w:rPr>
          <w:rFonts w:ascii="Tahoma" w:hAnsi="Tahoma" w:cs="Tahoma"/>
          <w:color w:val="000000"/>
          <w:sz w:val="16"/>
          <w:szCs w:val="16"/>
        </w:rPr>
        <w:t xml:space="preserve"> (mouse myeloma fused with spleen cells from a rat immunized with </w:t>
      </w:r>
      <w:r w:rsidRPr="00E041FB">
        <w:rPr>
          <w:rFonts w:ascii="Tahoma" w:hAnsi="Tahoma" w:cs="Tahoma"/>
          <w:b/>
          <w:color w:val="000000"/>
          <w:sz w:val="16"/>
          <w:szCs w:val="16"/>
        </w:rPr>
        <w:t>Recombinant human IL-12 (p35)</w:t>
      </w:r>
    </w:p>
    <w:p w:rsidR="00E041FB" w:rsidRPr="00E041FB" w:rsidRDefault="00E041FB" w:rsidP="00E041FB">
      <w:pPr>
        <w:autoSpaceDE w:val="0"/>
        <w:autoSpaceDN w:val="0"/>
        <w:adjustRightInd w:val="0"/>
        <w:jc w:val="both"/>
        <w:rPr>
          <w:rFonts w:ascii="Tahoma" w:hAnsi="Tahoma" w:cs="Tahoma"/>
          <w:color w:val="000000"/>
          <w:sz w:val="16"/>
          <w:szCs w:val="16"/>
        </w:rPr>
      </w:pPr>
      <w:r w:rsidRPr="00E041FB">
        <w:rPr>
          <w:rFonts w:ascii="Tahoma" w:hAnsi="Tahoma" w:cs="Tahoma"/>
          <w:b/>
          <w:bCs/>
          <w:i/>
          <w:iCs/>
          <w:color w:val="000000"/>
          <w:sz w:val="16"/>
          <w:szCs w:val="16"/>
        </w:rPr>
        <w:t xml:space="preserve">Formulation: </w:t>
      </w:r>
      <w:r w:rsidRPr="00E041FB">
        <w:rPr>
          <w:rFonts w:ascii="Tahoma" w:hAnsi="Tahoma" w:cs="Tahoma"/>
          <w:color w:val="000000"/>
          <w:sz w:val="16"/>
          <w:szCs w:val="16"/>
        </w:rPr>
        <w:t xml:space="preserve">The IgG fraction of </w:t>
      </w:r>
      <w:r w:rsidRPr="00E041FB">
        <w:rPr>
          <w:rFonts w:ascii="Tahoma" w:hAnsi="Tahoma" w:cs="Tahoma"/>
          <w:b/>
          <w:color w:val="000000"/>
          <w:sz w:val="16"/>
          <w:szCs w:val="16"/>
        </w:rPr>
        <w:t>culture supernatant</w:t>
      </w:r>
      <w:r w:rsidRPr="00E041FB">
        <w:rPr>
          <w:rFonts w:ascii="Tahoma" w:hAnsi="Tahoma" w:cs="Tahoma"/>
          <w:color w:val="000000"/>
          <w:sz w:val="16"/>
          <w:szCs w:val="16"/>
        </w:rPr>
        <w:t xml:space="preserve"> was purified by Protein A/G affinity chromatography and lyophilized from a 0.2 µm filtered solution in phosphate-buffered saline (PBS, </w:t>
      </w:r>
      <w:proofErr w:type="spellStart"/>
      <w:r w:rsidRPr="00E041FB">
        <w:rPr>
          <w:rFonts w:ascii="Tahoma" w:hAnsi="Tahoma" w:cs="Tahoma"/>
          <w:b/>
          <w:color w:val="000000"/>
          <w:sz w:val="16"/>
          <w:szCs w:val="16"/>
        </w:rPr>
        <w:t>Azide</w:t>
      </w:r>
      <w:proofErr w:type="spellEnd"/>
      <w:r w:rsidRPr="00E041FB">
        <w:rPr>
          <w:rFonts w:ascii="Tahoma" w:hAnsi="Tahoma" w:cs="Tahoma"/>
          <w:b/>
          <w:color w:val="000000"/>
          <w:sz w:val="16"/>
          <w:szCs w:val="16"/>
        </w:rPr>
        <w:t xml:space="preserve"> Free</w:t>
      </w:r>
      <w:r w:rsidRPr="00E041FB">
        <w:rPr>
          <w:rFonts w:ascii="Tahoma" w:hAnsi="Tahoma" w:cs="Tahoma"/>
          <w:color w:val="000000"/>
          <w:sz w:val="16"/>
          <w:szCs w:val="16"/>
        </w:rPr>
        <w:t xml:space="preserve">). </w:t>
      </w:r>
    </w:p>
    <w:p w:rsidR="00E041FB" w:rsidRPr="00E041FB" w:rsidRDefault="00E041FB" w:rsidP="00E041FB">
      <w:pPr>
        <w:autoSpaceDE w:val="0"/>
        <w:autoSpaceDN w:val="0"/>
        <w:adjustRightInd w:val="0"/>
        <w:jc w:val="both"/>
        <w:rPr>
          <w:rFonts w:ascii="Tahoma" w:hAnsi="Tahoma" w:cs="Tahoma"/>
          <w:b/>
          <w:bCs/>
          <w:i/>
          <w:iCs/>
          <w:color w:val="000000"/>
          <w:sz w:val="16"/>
          <w:szCs w:val="16"/>
        </w:rPr>
      </w:pPr>
      <w:r w:rsidRPr="00E041FB">
        <w:rPr>
          <w:rFonts w:ascii="Tahoma" w:hAnsi="Tahoma" w:cs="Tahoma"/>
          <w:b/>
          <w:bCs/>
          <w:i/>
          <w:iCs/>
          <w:color w:val="000000"/>
          <w:sz w:val="16"/>
          <w:szCs w:val="16"/>
        </w:rPr>
        <w:t xml:space="preserve">Reconstitution: </w:t>
      </w:r>
      <w:r w:rsidRPr="00E041FB">
        <w:rPr>
          <w:rFonts w:ascii="Tahoma" w:hAnsi="Tahoma" w:cs="Tahoma"/>
          <w:color w:val="000000"/>
          <w:sz w:val="16"/>
          <w:szCs w:val="16"/>
        </w:rPr>
        <w:t xml:space="preserve">Reconstitute the antibody with sterile PBS and the reconstituted antibody can be aliquoted and stored frozen at &lt; -20 for at least for six months without detectable loss of activity. </w:t>
      </w:r>
      <w:r w:rsidRPr="00E041FB">
        <w:rPr>
          <w:rFonts w:ascii="Tahoma" w:hAnsi="Tahoma" w:cs="Tahoma"/>
          <w:b/>
          <w:bCs/>
          <w:color w:val="000000"/>
          <w:sz w:val="16"/>
          <w:szCs w:val="16"/>
        </w:rPr>
        <w:t xml:space="preserve">Avoid repeated freeze-thaw cycles. </w:t>
      </w:r>
      <w:r w:rsidRPr="00E041FB">
        <w:rPr>
          <w:rFonts w:ascii="Tahoma" w:hAnsi="Tahoma" w:cs="Tahoma"/>
          <w:color w:val="000000"/>
          <w:sz w:val="16"/>
          <w:szCs w:val="16"/>
        </w:rPr>
        <w:t xml:space="preserve">Lyophilized samples are stable for 2 years from date of receipt when stored at -70°C. </w:t>
      </w:r>
    </w:p>
    <w:p w:rsidR="00E041FB" w:rsidRPr="00E041FB" w:rsidRDefault="00E041FB" w:rsidP="00E041FB">
      <w:pPr>
        <w:autoSpaceDE w:val="0"/>
        <w:autoSpaceDN w:val="0"/>
        <w:adjustRightInd w:val="0"/>
        <w:jc w:val="both"/>
        <w:rPr>
          <w:rFonts w:ascii="Tahoma" w:hAnsi="Tahoma" w:cs="Tahoma"/>
          <w:b/>
          <w:bCs/>
          <w:color w:val="000000"/>
          <w:sz w:val="16"/>
          <w:szCs w:val="16"/>
        </w:rPr>
      </w:pPr>
      <w:r w:rsidRPr="00E041FB">
        <w:rPr>
          <w:rFonts w:ascii="Tahoma" w:hAnsi="Tahoma" w:cs="Tahoma"/>
          <w:b/>
          <w:bCs/>
          <w:i/>
          <w:color w:val="000000"/>
          <w:sz w:val="16"/>
          <w:szCs w:val="16"/>
        </w:rPr>
        <w:t>*Endotoxin Level:</w:t>
      </w:r>
      <w:r w:rsidRPr="00E041FB">
        <w:rPr>
          <w:rFonts w:ascii="Tahoma" w:hAnsi="Tahoma" w:cs="Tahoma"/>
          <w:b/>
          <w:bCs/>
          <w:color w:val="000000"/>
          <w:sz w:val="16"/>
          <w:szCs w:val="16"/>
        </w:rPr>
        <w:tab/>
        <w:t>Extremely low level of LPS (&lt; 0.002EU/</w:t>
      </w:r>
      <w:proofErr w:type="spellStart"/>
      <w:r>
        <w:rPr>
          <w:rFonts w:ascii="Tahoma" w:hAnsi="Tahoma" w:cs="Tahoma"/>
          <w:b/>
          <w:bCs/>
          <w:color w:val="000000"/>
          <w:sz w:val="16"/>
          <w:szCs w:val="16"/>
        </w:rPr>
        <w:t>u</w:t>
      </w:r>
      <w:r w:rsidRPr="00E041FB">
        <w:rPr>
          <w:rFonts w:ascii="Tahoma" w:hAnsi="Tahoma" w:cs="Tahoma"/>
          <w:b/>
          <w:bCs/>
          <w:color w:val="000000"/>
          <w:sz w:val="16"/>
          <w:szCs w:val="16"/>
        </w:rPr>
        <w:t>g</w:t>
      </w:r>
      <w:proofErr w:type="spellEnd"/>
      <w:r w:rsidRPr="00E041FB">
        <w:rPr>
          <w:rFonts w:ascii="Tahoma" w:hAnsi="Tahoma" w:cs="Tahoma"/>
          <w:b/>
          <w:bCs/>
          <w:color w:val="000000"/>
          <w:sz w:val="16"/>
          <w:szCs w:val="16"/>
        </w:rPr>
        <w:t xml:space="preserve"> IgG)</w:t>
      </w:r>
    </w:p>
    <w:p w:rsidR="00E041FB" w:rsidRPr="00E041FB" w:rsidRDefault="00E041FB" w:rsidP="00E041FB">
      <w:pPr>
        <w:autoSpaceDE w:val="0"/>
        <w:autoSpaceDN w:val="0"/>
        <w:adjustRightInd w:val="0"/>
        <w:jc w:val="both"/>
        <w:rPr>
          <w:rFonts w:ascii="Tahoma" w:hAnsi="Tahoma" w:cs="Tahoma"/>
          <w:b/>
          <w:bCs/>
          <w:color w:val="000000"/>
          <w:sz w:val="16"/>
          <w:szCs w:val="16"/>
        </w:rPr>
      </w:pPr>
      <w:r w:rsidRPr="00E041FB">
        <w:rPr>
          <w:rFonts w:ascii="Tahoma" w:hAnsi="Tahoma" w:cs="Tahoma"/>
          <w:b/>
          <w:bCs/>
          <w:i/>
          <w:iCs/>
          <w:color w:val="000000"/>
          <w:sz w:val="16"/>
          <w:szCs w:val="16"/>
        </w:rPr>
        <w:t xml:space="preserve">Application(s): </w:t>
      </w:r>
    </w:p>
    <w:p w:rsidR="00E041FB" w:rsidRDefault="00E041FB" w:rsidP="00E041FB">
      <w:pPr>
        <w:numPr>
          <w:ilvl w:val="0"/>
          <w:numId w:val="10"/>
        </w:numPr>
        <w:tabs>
          <w:tab w:val="left" w:pos="1440"/>
        </w:tabs>
        <w:autoSpaceDE w:val="0"/>
        <w:autoSpaceDN w:val="0"/>
        <w:adjustRightInd w:val="0"/>
        <w:jc w:val="both"/>
        <w:rPr>
          <w:rFonts w:ascii="Tahoma" w:hAnsi="Tahoma" w:cs="Tahoma"/>
          <w:b/>
          <w:bCs/>
          <w:color w:val="000000"/>
          <w:sz w:val="16"/>
          <w:szCs w:val="16"/>
        </w:rPr>
      </w:pPr>
      <w:r w:rsidRPr="00E041FB">
        <w:rPr>
          <w:rFonts w:ascii="Tahoma" w:hAnsi="Tahoma" w:cs="Tahoma"/>
          <w:b/>
          <w:bCs/>
          <w:color w:val="000000"/>
          <w:sz w:val="16"/>
          <w:szCs w:val="16"/>
        </w:rPr>
        <w:t xml:space="preserve">IHC </w:t>
      </w:r>
    </w:p>
    <w:p w:rsidR="00E041FB" w:rsidRDefault="00E041FB" w:rsidP="00E041FB">
      <w:pPr>
        <w:numPr>
          <w:ilvl w:val="0"/>
          <w:numId w:val="10"/>
        </w:numPr>
        <w:tabs>
          <w:tab w:val="left" w:pos="1440"/>
        </w:tabs>
        <w:autoSpaceDE w:val="0"/>
        <w:autoSpaceDN w:val="0"/>
        <w:adjustRightInd w:val="0"/>
        <w:jc w:val="both"/>
        <w:rPr>
          <w:rFonts w:ascii="Tahoma" w:hAnsi="Tahoma" w:cs="Tahoma"/>
          <w:b/>
          <w:bCs/>
          <w:color w:val="000000"/>
          <w:sz w:val="16"/>
          <w:szCs w:val="16"/>
        </w:rPr>
      </w:pPr>
      <w:r w:rsidRPr="00E041FB">
        <w:rPr>
          <w:rFonts w:ascii="Tahoma" w:hAnsi="Tahoma" w:cs="Tahoma"/>
          <w:b/>
          <w:bCs/>
          <w:color w:val="000000"/>
          <w:sz w:val="16"/>
          <w:szCs w:val="16"/>
        </w:rPr>
        <w:t>WB</w:t>
      </w:r>
    </w:p>
    <w:p w:rsidR="00E041FB" w:rsidRPr="00E041FB" w:rsidRDefault="00E041FB" w:rsidP="00E041FB">
      <w:pPr>
        <w:numPr>
          <w:ilvl w:val="0"/>
          <w:numId w:val="10"/>
        </w:numPr>
        <w:tabs>
          <w:tab w:val="left" w:pos="1440"/>
        </w:tabs>
        <w:autoSpaceDE w:val="0"/>
        <w:autoSpaceDN w:val="0"/>
        <w:adjustRightInd w:val="0"/>
        <w:jc w:val="both"/>
        <w:rPr>
          <w:rFonts w:ascii="Tahoma" w:hAnsi="Tahoma" w:cs="Tahoma"/>
          <w:b/>
          <w:bCs/>
          <w:color w:val="000000"/>
          <w:sz w:val="16"/>
          <w:szCs w:val="16"/>
        </w:rPr>
      </w:pPr>
      <w:r w:rsidRPr="00E041FB">
        <w:rPr>
          <w:rFonts w:ascii="Tahoma" w:hAnsi="Tahoma" w:cs="Tahoma"/>
          <w:b/>
          <w:bCs/>
          <w:color w:val="000000"/>
          <w:sz w:val="16"/>
          <w:szCs w:val="16"/>
        </w:rPr>
        <w:t xml:space="preserve">Blocking (only in the form of human IL-12 p75) </w:t>
      </w:r>
    </w:p>
    <w:p w:rsidR="00E041FB" w:rsidRPr="00E041FB" w:rsidRDefault="00E041FB" w:rsidP="00E041FB">
      <w:pPr>
        <w:autoSpaceDE w:val="0"/>
        <w:autoSpaceDN w:val="0"/>
        <w:adjustRightInd w:val="0"/>
        <w:jc w:val="center"/>
        <w:rPr>
          <w:rFonts w:ascii="Tahoma" w:hAnsi="Tahoma" w:cs="Tahoma"/>
          <w:b/>
          <w:sz w:val="16"/>
          <w:szCs w:val="16"/>
        </w:rPr>
      </w:pPr>
      <w:r w:rsidRPr="00E041FB">
        <w:rPr>
          <w:rFonts w:ascii="Tahoma" w:hAnsi="Tahoma" w:cs="Tahoma"/>
          <w:b/>
          <w:sz w:val="16"/>
          <w:szCs w:val="16"/>
        </w:rPr>
        <w:t>* The antibody is produced by in vitro culture and for research use only</w:t>
      </w:r>
    </w:p>
    <w:bookmarkEnd w:id="0"/>
    <w:p w:rsidR="00E041FB" w:rsidRPr="00772734" w:rsidRDefault="00E041FB" w:rsidP="00772734">
      <w:pPr>
        <w:autoSpaceDE w:val="0"/>
        <w:autoSpaceDN w:val="0"/>
        <w:adjustRightInd w:val="0"/>
        <w:jc w:val="center"/>
        <w:rPr>
          <w:b/>
          <w:sz w:val="20"/>
          <w:szCs w:val="20"/>
        </w:rPr>
      </w:pPr>
    </w:p>
    <w:sectPr w:rsidR="00E041FB" w:rsidRPr="00772734" w:rsidSect="0082721E">
      <w:headerReference w:type="default" r:id="rId9"/>
      <w:footerReference w:type="default" r:id="rId10"/>
      <w:pgSz w:w="12240" w:h="15840"/>
      <w:pgMar w:top="1440" w:right="720" w:bottom="1080" w:left="720" w:header="36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E25" w:rsidRDefault="00445E25">
      <w:r>
        <w:separator/>
      </w:r>
    </w:p>
  </w:endnote>
  <w:endnote w:type="continuationSeparator" w:id="0">
    <w:p w:rsidR="00445E25" w:rsidRDefault="0044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F8" w:rsidRDefault="0038264A" w:rsidP="0038264A">
    <w:pPr>
      <w:autoSpaceDE w:val="0"/>
      <w:autoSpaceDN w:val="0"/>
      <w:adjustRightInd w:val="0"/>
      <w:jc w:val="center"/>
      <w:rPr>
        <w:rFonts w:ascii="TimesNewRomanPSMT" w:hAnsi="TimesNewRomanPSMT" w:cs="TimesNewRomanPSMT"/>
        <w:color w:val="000000"/>
      </w:rPr>
    </w:pPr>
    <w:r>
      <w:rPr>
        <w:rFonts w:ascii="TimesNewRomanPSMT" w:hAnsi="TimesNewRomanPSMT" w:cs="TimesNewRomanPSMT"/>
        <w:noProof/>
        <w:color w:val="000000"/>
      </w:rPr>
      <w:drawing>
        <wp:inline distT="0" distB="0" distL="0" distR="0" wp14:anchorId="1E0E1FD4" wp14:editId="1EE7C6E2">
          <wp:extent cx="5279390" cy="164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9390" cy="164465"/>
                  </a:xfrm>
                  <a:prstGeom prst="rect">
                    <a:avLst/>
                  </a:prstGeom>
                  <a:noFill/>
                </pic:spPr>
              </pic:pic>
            </a:graphicData>
          </a:graphic>
        </wp:inline>
      </w:drawing>
    </w:r>
  </w:p>
  <w:p w:rsidR="0082721E" w:rsidRDefault="0082721E" w:rsidP="0038264A">
    <w:pPr>
      <w:autoSpaceDE w:val="0"/>
      <w:autoSpaceDN w:val="0"/>
      <w:adjustRightInd w:val="0"/>
      <w:jc w:val="center"/>
      <w:rPr>
        <w:rFonts w:ascii="TimesNewRomanPSMT" w:hAnsi="TimesNewRomanPSMT" w:cs="TimesNewRomanPSMT"/>
        <w:color w:val="000000"/>
      </w:rPr>
    </w:pPr>
  </w:p>
  <w:p w:rsidR="00706CF8" w:rsidRDefault="00706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E25" w:rsidRDefault="00445E25">
      <w:r>
        <w:separator/>
      </w:r>
    </w:p>
  </w:footnote>
  <w:footnote w:type="continuationSeparator" w:id="0">
    <w:p w:rsidR="00445E25" w:rsidRDefault="0044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4A" w:rsidRDefault="0038264A" w:rsidP="0038264A">
    <w:pPr>
      <w:pStyle w:val="Header"/>
    </w:pPr>
    <w:r>
      <w:rPr>
        <w:noProof/>
      </w:rPr>
      <w:drawing>
        <wp:anchor distT="0" distB="0" distL="114300" distR="114300" simplePos="0" relativeHeight="251659264" behindDoc="1" locked="0" layoutInCell="1" allowOverlap="1" wp14:anchorId="4446D611" wp14:editId="6C8F1254">
          <wp:simplePos x="0" y="0"/>
          <wp:positionH relativeFrom="column">
            <wp:posOffset>66675</wp:posOffset>
          </wp:positionH>
          <wp:positionV relativeFrom="paragraph">
            <wp:posOffset>106680</wp:posOffset>
          </wp:positionV>
          <wp:extent cx="539115" cy="648970"/>
          <wp:effectExtent l="0" t="0" r="0" b="0"/>
          <wp:wrapTight wrapText="bothSides">
            <wp:wrapPolygon edited="0">
              <wp:start x="8396" y="0"/>
              <wp:lineTo x="0" y="8877"/>
              <wp:lineTo x="0" y="11413"/>
              <wp:lineTo x="9159" y="20924"/>
              <wp:lineTo x="12212" y="20924"/>
              <wp:lineTo x="20608" y="12047"/>
              <wp:lineTo x="20608" y="8877"/>
              <wp:lineTo x="12975" y="0"/>
              <wp:lineTo x="839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48970"/>
                  </a:xfrm>
                  <a:prstGeom prst="rect">
                    <a:avLst/>
                  </a:prstGeom>
                  <a:noFill/>
                </pic:spPr>
              </pic:pic>
            </a:graphicData>
          </a:graphic>
          <wp14:sizeRelH relativeFrom="page">
            <wp14:pctWidth>0</wp14:pctWidth>
          </wp14:sizeRelH>
          <wp14:sizeRelV relativeFrom="page">
            <wp14:pctHeight>0</wp14:pctHeight>
          </wp14:sizeRelV>
        </wp:anchor>
      </w:drawing>
    </w:r>
    <w:r w:rsidR="00777B31">
      <w:t xml:space="preserve">                                                                                                           </w:t>
    </w:r>
  </w:p>
  <w:p w:rsidR="0038264A" w:rsidRDefault="0038264A" w:rsidP="0038264A">
    <w:pPr>
      <w:pStyle w:val="Header"/>
    </w:pPr>
    <w:r>
      <w:rPr>
        <w:noProof/>
      </w:rPr>
      <w:drawing>
        <wp:anchor distT="0" distB="0" distL="114300" distR="114300" simplePos="0" relativeHeight="251658240" behindDoc="1" locked="0" layoutInCell="1" allowOverlap="1" wp14:anchorId="47BF1DA5" wp14:editId="09E129D2">
          <wp:simplePos x="0" y="0"/>
          <wp:positionH relativeFrom="column">
            <wp:posOffset>628015</wp:posOffset>
          </wp:positionH>
          <wp:positionV relativeFrom="paragraph">
            <wp:posOffset>147320</wp:posOffset>
          </wp:positionV>
          <wp:extent cx="2987040" cy="255905"/>
          <wp:effectExtent l="0" t="0" r="3810" b="0"/>
          <wp:wrapTight wrapText="bothSides">
            <wp:wrapPolygon edited="0">
              <wp:start x="1102" y="0"/>
              <wp:lineTo x="827" y="8040"/>
              <wp:lineTo x="689" y="17687"/>
              <wp:lineTo x="827" y="19295"/>
              <wp:lineTo x="19837" y="19295"/>
              <wp:lineTo x="21214" y="17687"/>
              <wp:lineTo x="21490" y="14471"/>
              <wp:lineTo x="21490" y="0"/>
              <wp:lineTo x="110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7040" cy="255905"/>
                  </a:xfrm>
                  <a:prstGeom prst="rect">
                    <a:avLst/>
                  </a:prstGeom>
                  <a:noFill/>
                </pic:spPr>
              </pic:pic>
            </a:graphicData>
          </a:graphic>
          <wp14:sizeRelH relativeFrom="page">
            <wp14:pctWidth>0</wp14:pctWidth>
          </wp14:sizeRelH>
          <wp14:sizeRelV relativeFrom="page">
            <wp14:pctHeight>0</wp14:pctHeight>
          </wp14:sizeRelV>
        </wp:anchor>
      </w:drawing>
    </w:r>
  </w:p>
  <w:p w:rsidR="00706CF8" w:rsidRDefault="0038264A" w:rsidP="0038264A">
    <w:pPr>
      <w:pStyle w:val="Header"/>
      <w:rPr>
        <w:rFonts w:ascii="Arial Rounded MT Bold" w:hAnsi="Arial Rounded MT Bold"/>
        <w:color w:val="1A4370"/>
        <w:sz w:val="28"/>
      </w:rPr>
    </w:pPr>
    <w:r>
      <w:t xml:space="preserve">                                                                                                                                                   </w:t>
    </w:r>
    <w:r w:rsidRPr="00B61EC0">
      <w:rPr>
        <w:rFonts w:ascii="Arial Rounded MT Bold" w:hAnsi="Arial Rounded MT Bold"/>
        <w:color w:val="1A4370"/>
        <w:sz w:val="28"/>
      </w:rPr>
      <w:t>DATA SHEET</w:t>
    </w:r>
  </w:p>
  <w:p w:rsidR="0038264A" w:rsidRDefault="0038264A" w:rsidP="0038264A">
    <w:pPr>
      <w:pStyle w:val="Header"/>
    </w:pPr>
  </w:p>
  <w:p w:rsidR="0038264A" w:rsidRDefault="0038264A" w:rsidP="00382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69A0"/>
    <w:multiLevelType w:val="hybridMultilevel"/>
    <w:tmpl w:val="C7D016B2"/>
    <w:lvl w:ilvl="0" w:tplc="EE745EBC">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4A17FB"/>
    <w:multiLevelType w:val="hybridMultilevel"/>
    <w:tmpl w:val="0978A63A"/>
    <w:lvl w:ilvl="0" w:tplc="9E38756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6E65D4B"/>
    <w:multiLevelType w:val="hybridMultilevel"/>
    <w:tmpl w:val="0978A63A"/>
    <w:lvl w:ilvl="0" w:tplc="9E38756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D576390"/>
    <w:multiLevelType w:val="hybridMultilevel"/>
    <w:tmpl w:val="C302AFFC"/>
    <w:lvl w:ilvl="0" w:tplc="F1F29B20">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564E6E"/>
    <w:multiLevelType w:val="hybridMultilevel"/>
    <w:tmpl w:val="D826B61E"/>
    <w:lvl w:ilvl="0" w:tplc="80CC96E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A533B"/>
    <w:multiLevelType w:val="hybridMultilevel"/>
    <w:tmpl w:val="AED4B0A6"/>
    <w:lvl w:ilvl="0" w:tplc="45368B7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E7016B0"/>
    <w:multiLevelType w:val="hybridMultilevel"/>
    <w:tmpl w:val="810E9880"/>
    <w:lvl w:ilvl="0" w:tplc="E5D6C6CE">
      <w:start w:val="1"/>
      <w:numFmt w:val="upp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F9A321A"/>
    <w:multiLevelType w:val="hybridMultilevel"/>
    <w:tmpl w:val="4F9468DA"/>
    <w:lvl w:ilvl="0" w:tplc="26C2380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8AF1EA9"/>
    <w:multiLevelType w:val="hybridMultilevel"/>
    <w:tmpl w:val="0B84072C"/>
    <w:lvl w:ilvl="0" w:tplc="9836C176">
      <w:start w:val="3"/>
      <w:numFmt w:val="decimal"/>
      <w:lvlText w:val="%1."/>
      <w:lvlJc w:val="left"/>
      <w:pPr>
        <w:tabs>
          <w:tab w:val="num" w:pos="1620"/>
        </w:tabs>
        <w:ind w:left="1620" w:hanging="360"/>
      </w:pPr>
      <w:rPr>
        <w:b/>
      </w:r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selectFldWithFirstOrLastChar/>
    <w:doNotWrapTextWithPunct/>
    <w:doNotUseEastAsianBreakRules/>
    <w:useWord2002TableStyleRules/>
    <w:growAutofit/>
    <w:compatSetting w:name="compatibilityMode" w:uri="http://schemas.microsoft.com/office/word" w:val="14"/>
  </w:compat>
  <w:rsids>
    <w:rsidRoot w:val="001D2124"/>
    <w:rsid w:val="00000FA3"/>
    <w:rsid w:val="00001800"/>
    <w:rsid w:val="00001B2E"/>
    <w:rsid w:val="000030DA"/>
    <w:rsid w:val="0000373F"/>
    <w:rsid w:val="00003A8E"/>
    <w:rsid w:val="00004028"/>
    <w:rsid w:val="000047DF"/>
    <w:rsid w:val="000078FF"/>
    <w:rsid w:val="00007F1C"/>
    <w:rsid w:val="00011ED0"/>
    <w:rsid w:val="00012E51"/>
    <w:rsid w:val="000135B8"/>
    <w:rsid w:val="00014A6C"/>
    <w:rsid w:val="0001523B"/>
    <w:rsid w:val="000172B4"/>
    <w:rsid w:val="00017E7C"/>
    <w:rsid w:val="0002463E"/>
    <w:rsid w:val="000267D4"/>
    <w:rsid w:val="0003062C"/>
    <w:rsid w:val="00031B95"/>
    <w:rsid w:val="0003452B"/>
    <w:rsid w:val="000354A4"/>
    <w:rsid w:val="000371CF"/>
    <w:rsid w:val="00037DBB"/>
    <w:rsid w:val="00037F91"/>
    <w:rsid w:val="000404B5"/>
    <w:rsid w:val="00040813"/>
    <w:rsid w:val="000427C8"/>
    <w:rsid w:val="000437A1"/>
    <w:rsid w:val="00047ABA"/>
    <w:rsid w:val="00047D41"/>
    <w:rsid w:val="000508F7"/>
    <w:rsid w:val="0005284E"/>
    <w:rsid w:val="00053D61"/>
    <w:rsid w:val="0005506A"/>
    <w:rsid w:val="00060180"/>
    <w:rsid w:val="00060B1B"/>
    <w:rsid w:val="00061D20"/>
    <w:rsid w:val="000647D4"/>
    <w:rsid w:val="000650C3"/>
    <w:rsid w:val="00066F40"/>
    <w:rsid w:val="000678EA"/>
    <w:rsid w:val="00071C46"/>
    <w:rsid w:val="0007288B"/>
    <w:rsid w:val="00073A8B"/>
    <w:rsid w:val="0007436D"/>
    <w:rsid w:val="00074633"/>
    <w:rsid w:val="00076486"/>
    <w:rsid w:val="000767D3"/>
    <w:rsid w:val="0007733D"/>
    <w:rsid w:val="000777A2"/>
    <w:rsid w:val="00080DC5"/>
    <w:rsid w:val="00083D0F"/>
    <w:rsid w:val="000841B6"/>
    <w:rsid w:val="00084200"/>
    <w:rsid w:val="000846DE"/>
    <w:rsid w:val="00085C6F"/>
    <w:rsid w:val="00085DDC"/>
    <w:rsid w:val="00086E45"/>
    <w:rsid w:val="00090043"/>
    <w:rsid w:val="00090781"/>
    <w:rsid w:val="00092198"/>
    <w:rsid w:val="00092B05"/>
    <w:rsid w:val="00093DA3"/>
    <w:rsid w:val="00096309"/>
    <w:rsid w:val="000972EA"/>
    <w:rsid w:val="000A7A89"/>
    <w:rsid w:val="000B0FE9"/>
    <w:rsid w:val="000B1E94"/>
    <w:rsid w:val="000B52AF"/>
    <w:rsid w:val="000B6BA5"/>
    <w:rsid w:val="000B7BB6"/>
    <w:rsid w:val="000C0F1B"/>
    <w:rsid w:val="000C25EC"/>
    <w:rsid w:val="000C37B8"/>
    <w:rsid w:val="000C5938"/>
    <w:rsid w:val="000C787B"/>
    <w:rsid w:val="000C79C8"/>
    <w:rsid w:val="000D2BA4"/>
    <w:rsid w:val="000D3871"/>
    <w:rsid w:val="000D3999"/>
    <w:rsid w:val="000D62E2"/>
    <w:rsid w:val="000D7539"/>
    <w:rsid w:val="000D7598"/>
    <w:rsid w:val="000E0CA8"/>
    <w:rsid w:val="000E2D20"/>
    <w:rsid w:val="000E3E31"/>
    <w:rsid w:val="000E49D7"/>
    <w:rsid w:val="000E60F7"/>
    <w:rsid w:val="000E65C6"/>
    <w:rsid w:val="000E6F63"/>
    <w:rsid w:val="000F036F"/>
    <w:rsid w:val="000F1510"/>
    <w:rsid w:val="000F1909"/>
    <w:rsid w:val="000F1EAD"/>
    <w:rsid w:val="000F2E27"/>
    <w:rsid w:val="000F4704"/>
    <w:rsid w:val="000F4BAB"/>
    <w:rsid w:val="000F5BA1"/>
    <w:rsid w:val="000F756B"/>
    <w:rsid w:val="001023F1"/>
    <w:rsid w:val="0010380D"/>
    <w:rsid w:val="00103E3B"/>
    <w:rsid w:val="00104100"/>
    <w:rsid w:val="001048A5"/>
    <w:rsid w:val="001061C5"/>
    <w:rsid w:val="00107A34"/>
    <w:rsid w:val="00111218"/>
    <w:rsid w:val="001116BF"/>
    <w:rsid w:val="00111BFB"/>
    <w:rsid w:val="00112C4D"/>
    <w:rsid w:val="0011740E"/>
    <w:rsid w:val="001178F4"/>
    <w:rsid w:val="00124AF4"/>
    <w:rsid w:val="00126FDD"/>
    <w:rsid w:val="0013096F"/>
    <w:rsid w:val="00132A37"/>
    <w:rsid w:val="00133E23"/>
    <w:rsid w:val="00134DF3"/>
    <w:rsid w:val="00136196"/>
    <w:rsid w:val="00137511"/>
    <w:rsid w:val="001408F9"/>
    <w:rsid w:val="001413DE"/>
    <w:rsid w:val="001428D3"/>
    <w:rsid w:val="001431AF"/>
    <w:rsid w:val="00147666"/>
    <w:rsid w:val="00153565"/>
    <w:rsid w:val="0015519E"/>
    <w:rsid w:val="00155704"/>
    <w:rsid w:val="00163A4E"/>
    <w:rsid w:val="00163A70"/>
    <w:rsid w:val="00164C0E"/>
    <w:rsid w:val="001661B4"/>
    <w:rsid w:val="001664AA"/>
    <w:rsid w:val="00167056"/>
    <w:rsid w:val="00172FA2"/>
    <w:rsid w:val="001750F4"/>
    <w:rsid w:val="00175C0E"/>
    <w:rsid w:val="001778C8"/>
    <w:rsid w:val="001779D2"/>
    <w:rsid w:val="00182225"/>
    <w:rsid w:val="001832D6"/>
    <w:rsid w:val="00183EDB"/>
    <w:rsid w:val="00186D99"/>
    <w:rsid w:val="00187425"/>
    <w:rsid w:val="001919D1"/>
    <w:rsid w:val="00192BE4"/>
    <w:rsid w:val="0019762A"/>
    <w:rsid w:val="001A014E"/>
    <w:rsid w:val="001A027D"/>
    <w:rsid w:val="001A0F50"/>
    <w:rsid w:val="001A1843"/>
    <w:rsid w:val="001A2D7C"/>
    <w:rsid w:val="001A6012"/>
    <w:rsid w:val="001A74A3"/>
    <w:rsid w:val="001A7EFE"/>
    <w:rsid w:val="001B02E0"/>
    <w:rsid w:val="001B0A08"/>
    <w:rsid w:val="001B29E7"/>
    <w:rsid w:val="001B38AA"/>
    <w:rsid w:val="001B5BEF"/>
    <w:rsid w:val="001B7AD4"/>
    <w:rsid w:val="001B7FC3"/>
    <w:rsid w:val="001C22C1"/>
    <w:rsid w:val="001C2545"/>
    <w:rsid w:val="001C2936"/>
    <w:rsid w:val="001C6001"/>
    <w:rsid w:val="001D16E3"/>
    <w:rsid w:val="001D2124"/>
    <w:rsid w:val="001D2216"/>
    <w:rsid w:val="001D27D3"/>
    <w:rsid w:val="001E1D9D"/>
    <w:rsid w:val="001E31D9"/>
    <w:rsid w:val="001E3D26"/>
    <w:rsid w:val="001E4534"/>
    <w:rsid w:val="001E4E9A"/>
    <w:rsid w:val="001E5410"/>
    <w:rsid w:val="001F0667"/>
    <w:rsid w:val="001F1B90"/>
    <w:rsid w:val="001F2A83"/>
    <w:rsid w:val="001F3FA0"/>
    <w:rsid w:val="001F540D"/>
    <w:rsid w:val="001F54ED"/>
    <w:rsid w:val="001F70F7"/>
    <w:rsid w:val="00202220"/>
    <w:rsid w:val="00204408"/>
    <w:rsid w:val="00205951"/>
    <w:rsid w:val="002062F6"/>
    <w:rsid w:val="00206E69"/>
    <w:rsid w:val="002111BC"/>
    <w:rsid w:val="002115A0"/>
    <w:rsid w:val="00211A6A"/>
    <w:rsid w:val="00211C3E"/>
    <w:rsid w:val="00213E3E"/>
    <w:rsid w:val="00215F33"/>
    <w:rsid w:val="0021702A"/>
    <w:rsid w:val="00220D46"/>
    <w:rsid w:val="00221854"/>
    <w:rsid w:val="00221A8E"/>
    <w:rsid w:val="00226726"/>
    <w:rsid w:val="00227701"/>
    <w:rsid w:val="00227A18"/>
    <w:rsid w:val="00230CD1"/>
    <w:rsid w:val="0023359A"/>
    <w:rsid w:val="00233DA6"/>
    <w:rsid w:val="00235843"/>
    <w:rsid w:val="00237EE5"/>
    <w:rsid w:val="00240C5B"/>
    <w:rsid w:val="00242030"/>
    <w:rsid w:val="00242A23"/>
    <w:rsid w:val="002433A7"/>
    <w:rsid w:val="0024489C"/>
    <w:rsid w:val="0024565F"/>
    <w:rsid w:val="00247470"/>
    <w:rsid w:val="00250A4A"/>
    <w:rsid w:val="00250B00"/>
    <w:rsid w:val="002535C4"/>
    <w:rsid w:val="00256895"/>
    <w:rsid w:val="002568BE"/>
    <w:rsid w:val="00260CB3"/>
    <w:rsid w:val="00264F28"/>
    <w:rsid w:val="00264FC2"/>
    <w:rsid w:val="00265D1F"/>
    <w:rsid w:val="0026662E"/>
    <w:rsid w:val="002671EC"/>
    <w:rsid w:val="002671EE"/>
    <w:rsid w:val="00267FB5"/>
    <w:rsid w:val="002754C0"/>
    <w:rsid w:val="0027678C"/>
    <w:rsid w:val="002808F5"/>
    <w:rsid w:val="00281C92"/>
    <w:rsid w:val="002827D7"/>
    <w:rsid w:val="00285D18"/>
    <w:rsid w:val="00286169"/>
    <w:rsid w:val="0028691A"/>
    <w:rsid w:val="00286D48"/>
    <w:rsid w:val="00286EB0"/>
    <w:rsid w:val="00287285"/>
    <w:rsid w:val="00287CB8"/>
    <w:rsid w:val="002908AC"/>
    <w:rsid w:val="0029127F"/>
    <w:rsid w:val="00291DE1"/>
    <w:rsid w:val="00292E08"/>
    <w:rsid w:val="00296D9E"/>
    <w:rsid w:val="002A07C0"/>
    <w:rsid w:val="002A0C95"/>
    <w:rsid w:val="002A11D6"/>
    <w:rsid w:val="002A247D"/>
    <w:rsid w:val="002A6B82"/>
    <w:rsid w:val="002A6E3E"/>
    <w:rsid w:val="002B26CD"/>
    <w:rsid w:val="002B3765"/>
    <w:rsid w:val="002B5EFC"/>
    <w:rsid w:val="002B7B8A"/>
    <w:rsid w:val="002B7D24"/>
    <w:rsid w:val="002C0025"/>
    <w:rsid w:val="002C2E88"/>
    <w:rsid w:val="002C6022"/>
    <w:rsid w:val="002C7D31"/>
    <w:rsid w:val="002D2769"/>
    <w:rsid w:val="002D3942"/>
    <w:rsid w:val="002D645C"/>
    <w:rsid w:val="002E0B90"/>
    <w:rsid w:val="002E0FDB"/>
    <w:rsid w:val="002E16E9"/>
    <w:rsid w:val="002E3232"/>
    <w:rsid w:val="002E4600"/>
    <w:rsid w:val="002E5E0B"/>
    <w:rsid w:val="002E6676"/>
    <w:rsid w:val="002E6B66"/>
    <w:rsid w:val="002E6FF6"/>
    <w:rsid w:val="002F0068"/>
    <w:rsid w:val="002F07C3"/>
    <w:rsid w:val="002F2C86"/>
    <w:rsid w:val="002F2E26"/>
    <w:rsid w:val="002F36BB"/>
    <w:rsid w:val="002F4610"/>
    <w:rsid w:val="002F5583"/>
    <w:rsid w:val="002F5909"/>
    <w:rsid w:val="002F5E62"/>
    <w:rsid w:val="003045D4"/>
    <w:rsid w:val="00305564"/>
    <w:rsid w:val="00305662"/>
    <w:rsid w:val="00307589"/>
    <w:rsid w:val="003100FC"/>
    <w:rsid w:val="00313E13"/>
    <w:rsid w:val="0031624E"/>
    <w:rsid w:val="0031675C"/>
    <w:rsid w:val="00316C1B"/>
    <w:rsid w:val="0032171E"/>
    <w:rsid w:val="00322027"/>
    <w:rsid w:val="00322307"/>
    <w:rsid w:val="00322B00"/>
    <w:rsid w:val="0032523D"/>
    <w:rsid w:val="00326B8C"/>
    <w:rsid w:val="003316E3"/>
    <w:rsid w:val="00331974"/>
    <w:rsid w:val="00331DD2"/>
    <w:rsid w:val="00334014"/>
    <w:rsid w:val="0033445D"/>
    <w:rsid w:val="003351BD"/>
    <w:rsid w:val="00335DEF"/>
    <w:rsid w:val="00340D34"/>
    <w:rsid w:val="00342427"/>
    <w:rsid w:val="003425C8"/>
    <w:rsid w:val="00343921"/>
    <w:rsid w:val="003448DF"/>
    <w:rsid w:val="00344E2B"/>
    <w:rsid w:val="0035175C"/>
    <w:rsid w:val="00362782"/>
    <w:rsid w:val="00362DFC"/>
    <w:rsid w:val="00365FF2"/>
    <w:rsid w:val="00367DB1"/>
    <w:rsid w:val="00370ECB"/>
    <w:rsid w:val="00371C4D"/>
    <w:rsid w:val="00374D7B"/>
    <w:rsid w:val="00375573"/>
    <w:rsid w:val="00375A43"/>
    <w:rsid w:val="00377C8C"/>
    <w:rsid w:val="0038264A"/>
    <w:rsid w:val="00383A35"/>
    <w:rsid w:val="00386A19"/>
    <w:rsid w:val="003901DF"/>
    <w:rsid w:val="00393267"/>
    <w:rsid w:val="003938B6"/>
    <w:rsid w:val="00396465"/>
    <w:rsid w:val="00396D44"/>
    <w:rsid w:val="003A0A85"/>
    <w:rsid w:val="003A1CD2"/>
    <w:rsid w:val="003A2FDE"/>
    <w:rsid w:val="003A355D"/>
    <w:rsid w:val="003A577E"/>
    <w:rsid w:val="003A7AFB"/>
    <w:rsid w:val="003B1A35"/>
    <w:rsid w:val="003B357F"/>
    <w:rsid w:val="003B38E0"/>
    <w:rsid w:val="003B7ADE"/>
    <w:rsid w:val="003C113D"/>
    <w:rsid w:val="003C15D1"/>
    <w:rsid w:val="003C23FC"/>
    <w:rsid w:val="003C5404"/>
    <w:rsid w:val="003C5EBB"/>
    <w:rsid w:val="003D1771"/>
    <w:rsid w:val="003D1F34"/>
    <w:rsid w:val="003D20DA"/>
    <w:rsid w:val="003D4D01"/>
    <w:rsid w:val="003D58A2"/>
    <w:rsid w:val="003D6510"/>
    <w:rsid w:val="003D7B1F"/>
    <w:rsid w:val="003E3D71"/>
    <w:rsid w:val="003E452E"/>
    <w:rsid w:val="003E70D9"/>
    <w:rsid w:val="003F156C"/>
    <w:rsid w:val="003F22B0"/>
    <w:rsid w:val="003F22BA"/>
    <w:rsid w:val="003F232C"/>
    <w:rsid w:val="003F234D"/>
    <w:rsid w:val="003F3898"/>
    <w:rsid w:val="003F57A3"/>
    <w:rsid w:val="00400133"/>
    <w:rsid w:val="00400241"/>
    <w:rsid w:val="0040294A"/>
    <w:rsid w:val="00403459"/>
    <w:rsid w:val="00403ADD"/>
    <w:rsid w:val="00403C27"/>
    <w:rsid w:val="004046A2"/>
    <w:rsid w:val="00404E30"/>
    <w:rsid w:val="0040703D"/>
    <w:rsid w:val="00410946"/>
    <w:rsid w:val="0041156B"/>
    <w:rsid w:val="00411E3B"/>
    <w:rsid w:val="00415412"/>
    <w:rsid w:val="00415DFD"/>
    <w:rsid w:val="00416F74"/>
    <w:rsid w:val="0041710F"/>
    <w:rsid w:val="00422E04"/>
    <w:rsid w:val="00423293"/>
    <w:rsid w:val="00430C18"/>
    <w:rsid w:val="0043190D"/>
    <w:rsid w:val="0043352E"/>
    <w:rsid w:val="00433EE0"/>
    <w:rsid w:val="00435B2C"/>
    <w:rsid w:val="004374E4"/>
    <w:rsid w:val="00440BB7"/>
    <w:rsid w:val="00441B30"/>
    <w:rsid w:val="0044335E"/>
    <w:rsid w:val="004445B0"/>
    <w:rsid w:val="00444BAE"/>
    <w:rsid w:val="00445416"/>
    <w:rsid w:val="00445E25"/>
    <w:rsid w:val="00447907"/>
    <w:rsid w:val="004502AA"/>
    <w:rsid w:val="00456707"/>
    <w:rsid w:val="0046041D"/>
    <w:rsid w:val="0046129B"/>
    <w:rsid w:val="00461875"/>
    <w:rsid w:val="004627C7"/>
    <w:rsid w:val="00463E41"/>
    <w:rsid w:val="00473CC4"/>
    <w:rsid w:val="0047514D"/>
    <w:rsid w:val="0047594D"/>
    <w:rsid w:val="00476D42"/>
    <w:rsid w:val="00477AD7"/>
    <w:rsid w:val="00483629"/>
    <w:rsid w:val="00485BB7"/>
    <w:rsid w:val="00487CD7"/>
    <w:rsid w:val="00491680"/>
    <w:rsid w:val="00491AB6"/>
    <w:rsid w:val="00494EDC"/>
    <w:rsid w:val="0049630B"/>
    <w:rsid w:val="00497C38"/>
    <w:rsid w:val="004A0EE2"/>
    <w:rsid w:val="004A1146"/>
    <w:rsid w:val="004A1218"/>
    <w:rsid w:val="004A29F4"/>
    <w:rsid w:val="004A2DF8"/>
    <w:rsid w:val="004A344F"/>
    <w:rsid w:val="004A401B"/>
    <w:rsid w:val="004A5434"/>
    <w:rsid w:val="004A560B"/>
    <w:rsid w:val="004A6ACF"/>
    <w:rsid w:val="004A74AE"/>
    <w:rsid w:val="004A7692"/>
    <w:rsid w:val="004A7FF3"/>
    <w:rsid w:val="004B138B"/>
    <w:rsid w:val="004B15C3"/>
    <w:rsid w:val="004B2D2F"/>
    <w:rsid w:val="004B5ED2"/>
    <w:rsid w:val="004B7413"/>
    <w:rsid w:val="004B7E6F"/>
    <w:rsid w:val="004C0BD2"/>
    <w:rsid w:val="004C1986"/>
    <w:rsid w:val="004C2D85"/>
    <w:rsid w:val="004C35D5"/>
    <w:rsid w:val="004C7DEA"/>
    <w:rsid w:val="004D06E7"/>
    <w:rsid w:val="004D0896"/>
    <w:rsid w:val="004D1321"/>
    <w:rsid w:val="004D26D8"/>
    <w:rsid w:val="004D33CE"/>
    <w:rsid w:val="004D472B"/>
    <w:rsid w:val="004D530C"/>
    <w:rsid w:val="004D6E92"/>
    <w:rsid w:val="004D7D47"/>
    <w:rsid w:val="004E05B3"/>
    <w:rsid w:val="004E07E0"/>
    <w:rsid w:val="004E3E57"/>
    <w:rsid w:val="004E7F5F"/>
    <w:rsid w:val="004E7FB4"/>
    <w:rsid w:val="004F1A90"/>
    <w:rsid w:val="004F46E9"/>
    <w:rsid w:val="004F46F5"/>
    <w:rsid w:val="004F5120"/>
    <w:rsid w:val="004F5247"/>
    <w:rsid w:val="004F5C42"/>
    <w:rsid w:val="004F5E5A"/>
    <w:rsid w:val="00500F63"/>
    <w:rsid w:val="005062D3"/>
    <w:rsid w:val="00511D55"/>
    <w:rsid w:val="005146A3"/>
    <w:rsid w:val="00514E23"/>
    <w:rsid w:val="00514E5A"/>
    <w:rsid w:val="005153F1"/>
    <w:rsid w:val="00517AE3"/>
    <w:rsid w:val="0052167F"/>
    <w:rsid w:val="005225EF"/>
    <w:rsid w:val="005235B4"/>
    <w:rsid w:val="0052480E"/>
    <w:rsid w:val="00524A4B"/>
    <w:rsid w:val="00524ABD"/>
    <w:rsid w:val="00524D5E"/>
    <w:rsid w:val="005270A3"/>
    <w:rsid w:val="00532DD9"/>
    <w:rsid w:val="00532E42"/>
    <w:rsid w:val="00533EDE"/>
    <w:rsid w:val="00535D42"/>
    <w:rsid w:val="00537B01"/>
    <w:rsid w:val="00537F4A"/>
    <w:rsid w:val="00541D24"/>
    <w:rsid w:val="00543A06"/>
    <w:rsid w:val="00543B03"/>
    <w:rsid w:val="005441DC"/>
    <w:rsid w:val="00544B1C"/>
    <w:rsid w:val="005479D2"/>
    <w:rsid w:val="0055060B"/>
    <w:rsid w:val="00551518"/>
    <w:rsid w:val="00551CE8"/>
    <w:rsid w:val="00552567"/>
    <w:rsid w:val="00553E84"/>
    <w:rsid w:val="00557835"/>
    <w:rsid w:val="005613DC"/>
    <w:rsid w:val="00563D5F"/>
    <w:rsid w:val="00564147"/>
    <w:rsid w:val="005657EE"/>
    <w:rsid w:val="005660F3"/>
    <w:rsid w:val="00571496"/>
    <w:rsid w:val="0057462E"/>
    <w:rsid w:val="00575AB4"/>
    <w:rsid w:val="00575BBB"/>
    <w:rsid w:val="005822F1"/>
    <w:rsid w:val="005824CD"/>
    <w:rsid w:val="00582863"/>
    <w:rsid w:val="00585908"/>
    <w:rsid w:val="00587CC5"/>
    <w:rsid w:val="00590EFC"/>
    <w:rsid w:val="00591B57"/>
    <w:rsid w:val="0059305E"/>
    <w:rsid w:val="005959FE"/>
    <w:rsid w:val="00595BAD"/>
    <w:rsid w:val="0059678D"/>
    <w:rsid w:val="005A0488"/>
    <w:rsid w:val="005A1CCF"/>
    <w:rsid w:val="005A23E3"/>
    <w:rsid w:val="005A3676"/>
    <w:rsid w:val="005A3B08"/>
    <w:rsid w:val="005A4651"/>
    <w:rsid w:val="005A536C"/>
    <w:rsid w:val="005B22ED"/>
    <w:rsid w:val="005B4D19"/>
    <w:rsid w:val="005B6C37"/>
    <w:rsid w:val="005B78DC"/>
    <w:rsid w:val="005C0FD4"/>
    <w:rsid w:val="005C17D4"/>
    <w:rsid w:val="005C1BAF"/>
    <w:rsid w:val="005C27D7"/>
    <w:rsid w:val="005C2BF9"/>
    <w:rsid w:val="005C3E3D"/>
    <w:rsid w:val="005C5835"/>
    <w:rsid w:val="005D29E3"/>
    <w:rsid w:val="005D2D87"/>
    <w:rsid w:val="005D3FC0"/>
    <w:rsid w:val="005D481F"/>
    <w:rsid w:val="005E02E4"/>
    <w:rsid w:val="005E2D2D"/>
    <w:rsid w:val="005E306E"/>
    <w:rsid w:val="005F03C7"/>
    <w:rsid w:val="005F3E22"/>
    <w:rsid w:val="005F4065"/>
    <w:rsid w:val="005F40DD"/>
    <w:rsid w:val="005F5DFF"/>
    <w:rsid w:val="006001A6"/>
    <w:rsid w:val="00603AAB"/>
    <w:rsid w:val="00612113"/>
    <w:rsid w:val="00614874"/>
    <w:rsid w:val="0061562F"/>
    <w:rsid w:val="00617E65"/>
    <w:rsid w:val="00620F91"/>
    <w:rsid w:val="00621717"/>
    <w:rsid w:val="0062184E"/>
    <w:rsid w:val="00626884"/>
    <w:rsid w:val="00630CD1"/>
    <w:rsid w:val="00631C35"/>
    <w:rsid w:val="00631D3B"/>
    <w:rsid w:val="0063250B"/>
    <w:rsid w:val="00632CCB"/>
    <w:rsid w:val="006358F8"/>
    <w:rsid w:val="00636863"/>
    <w:rsid w:val="00636FAF"/>
    <w:rsid w:val="0064169B"/>
    <w:rsid w:val="0064311A"/>
    <w:rsid w:val="00646505"/>
    <w:rsid w:val="00646C0A"/>
    <w:rsid w:val="006470AE"/>
    <w:rsid w:val="00647ED1"/>
    <w:rsid w:val="00650475"/>
    <w:rsid w:val="00655154"/>
    <w:rsid w:val="006554CE"/>
    <w:rsid w:val="00655E04"/>
    <w:rsid w:val="00656D66"/>
    <w:rsid w:val="00661678"/>
    <w:rsid w:val="00664D69"/>
    <w:rsid w:val="00665390"/>
    <w:rsid w:val="00667EEE"/>
    <w:rsid w:val="006702A5"/>
    <w:rsid w:val="00673F93"/>
    <w:rsid w:val="00674678"/>
    <w:rsid w:val="00675FE9"/>
    <w:rsid w:val="006767A7"/>
    <w:rsid w:val="0067723C"/>
    <w:rsid w:val="00677FB0"/>
    <w:rsid w:val="006804B3"/>
    <w:rsid w:val="0068462D"/>
    <w:rsid w:val="006852FE"/>
    <w:rsid w:val="00685B95"/>
    <w:rsid w:val="00690A8E"/>
    <w:rsid w:val="0069502E"/>
    <w:rsid w:val="00695BF7"/>
    <w:rsid w:val="006965B0"/>
    <w:rsid w:val="006977A1"/>
    <w:rsid w:val="006A0877"/>
    <w:rsid w:val="006A2DC8"/>
    <w:rsid w:val="006A5C74"/>
    <w:rsid w:val="006A5CA5"/>
    <w:rsid w:val="006B0E72"/>
    <w:rsid w:val="006B2146"/>
    <w:rsid w:val="006B2B67"/>
    <w:rsid w:val="006B2EF2"/>
    <w:rsid w:val="006B5932"/>
    <w:rsid w:val="006B5D05"/>
    <w:rsid w:val="006C037F"/>
    <w:rsid w:val="006C4744"/>
    <w:rsid w:val="006C48EC"/>
    <w:rsid w:val="006C691F"/>
    <w:rsid w:val="006C6BD1"/>
    <w:rsid w:val="006C7D18"/>
    <w:rsid w:val="006D0EB3"/>
    <w:rsid w:val="006D108E"/>
    <w:rsid w:val="006D4C93"/>
    <w:rsid w:val="006D686E"/>
    <w:rsid w:val="006D6AF3"/>
    <w:rsid w:val="006D78F9"/>
    <w:rsid w:val="006E0243"/>
    <w:rsid w:val="006E0270"/>
    <w:rsid w:val="006E0988"/>
    <w:rsid w:val="006E0BBD"/>
    <w:rsid w:val="006E55BE"/>
    <w:rsid w:val="006E5BD4"/>
    <w:rsid w:val="006F0522"/>
    <w:rsid w:val="006F28E2"/>
    <w:rsid w:val="006F29FF"/>
    <w:rsid w:val="006F2CA2"/>
    <w:rsid w:val="006F4DAF"/>
    <w:rsid w:val="006F6449"/>
    <w:rsid w:val="006F6C0F"/>
    <w:rsid w:val="00700094"/>
    <w:rsid w:val="00700DFE"/>
    <w:rsid w:val="00702CD2"/>
    <w:rsid w:val="0070421D"/>
    <w:rsid w:val="00704793"/>
    <w:rsid w:val="00706307"/>
    <w:rsid w:val="00706960"/>
    <w:rsid w:val="00706CF8"/>
    <w:rsid w:val="00713ECB"/>
    <w:rsid w:val="007147CD"/>
    <w:rsid w:val="00724428"/>
    <w:rsid w:val="007251E1"/>
    <w:rsid w:val="00731793"/>
    <w:rsid w:val="00736597"/>
    <w:rsid w:val="00740110"/>
    <w:rsid w:val="00740150"/>
    <w:rsid w:val="007408AE"/>
    <w:rsid w:val="007416D4"/>
    <w:rsid w:val="00741CFF"/>
    <w:rsid w:val="00743275"/>
    <w:rsid w:val="0074463C"/>
    <w:rsid w:val="00746C25"/>
    <w:rsid w:val="00752367"/>
    <w:rsid w:val="00753E36"/>
    <w:rsid w:val="007601EB"/>
    <w:rsid w:val="00762236"/>
    <w:rsid w:val="00762CB9"/>
    <w:rsid w:val="0076326F"/>
    <w:rsid w:val="00766138"/>
    <w:rsid w:val="00767D76"/>
    <w:rsid w:val="007710CF"/>
    <w:rsid w:val="007717F9"/>
    <w:rsid w:val="00772734"/>
    <w:rsid w:val="00772E3F"/>
    <w:rsid w:val="007732A6"/>
    <w:rsid w:val="00773FB9"/>
    <w:rsid w:val="00774ACB"/>
    <w:rsid w:val="00774B7C"/>
    <w:rsid w:val="00775BCD"/>
    <w:rsid w:val="007767E5"/>
    <w:rsid w:val="00777B31"/>
    <w:rsid w:val="00777E1C"/>
    <w:rsid w:val="007800DA"/>
    <w:rsid w:val="00780BE9"/>
    <w:rsid w:val="0078174F"/>
    <w:rsid w:val="0078227D"/>
    <w:rsid w:val="00782520"/>
    <w:rsid w:val="007836B5"/>
    <w:rsid w:val="00784D13"/>
    <w:rsid w:val="00785372"/>
    <w:rsid w:val="0078768C"/>
    <w:rsid w:val="00787D1B"/>
    <w:rsid w:val="00790053"/>
    <w:rsid w:val="007900BE"/>
    <w:rsid w:val="00791DC1"/>
    <w:rsid w:val="00795988"/>
    <w:rsid w:val="0079638D"/>
    <w:rsid w:val="00796747"/>
    <w:rsid w:val="007A0816"/>
    <w:rsid w:val="007A413A"/>
    <w:rsid w:val="007A4CC5"/>
    <w:rsid w:val="007A7A49"/>
    <w:rsid w:val="007B04FA"/>
    <w:rsid w:val="007B1FA4"/>
    <w:rsid w:val="007B276A"/>
    <w:rsid w:val="007B5D7F"/>
    <w:rsid w:val="007B602C"/>
    <w:rsid w:val="007B7F57"/>
    <w:rsid w:val="007C08CB"/>
    <w:rsid w:val="007C150A"/>
    <w:rsid w:val="007C1BFA"/>
    <w:rsid w:val="007C218C"/>
    <w:rsid w:val="007C28D9"/>
    <w:rsid w:val="007C37FE"/>
    <w:rsid w:val="007C4757"/>
    <w:rsid w:val="007C4A22"/>
    <w:rsid w:val="007C5322"/>
    <w:rsid w:val="007C55CD"/>
    <w:rsid w:val="007C6640"/>
    <w:rsid w:val="007C6F04"/>
    <w:rsid w:val="007D0999"/>
    <w:rsid w:val="007D1259"/>
    <w:rsid w:val="007D22B6"/>
    <w:rsid w:val="007D43FE"/>
    <w:rsid w:val="007D5E7D"/>
    <w:rsid w:val="007E28ED"/>
    <w:rsid w:val="007E30B7"/>
    <w:rsid w:val="007E4600"/>
    <w:rsid w:val="007E4874"/>
    <w:rsid w:val="007E73CD"/>
    <w:rsid w:val="007E7900"/>
    <w:rsid w:val="007E7C34"/>
    <w:rsid w:val="007F109B"/>
    <w:rsid w:val="007F14BA"/>
    <w:rsid w:val="007F3B40"/>
    <w:rsid w:val="007F7018"/>
    <w:rsid w:val="007F7BCC"/>
    <w:rsid w:val="00801F67"/>
    <w:rsid w:val="00803386"/>
    <w:rsid w:val="00803695"/>
    <w:rsid w:val="00811453"/>
    <w:rsid w:val="00813DEE"/>
    <w:rsid w:val="0081418A"/>
    <w:rsid w:val="008159CF"/>
    <w:rsid w:val="00815EA2"/>
    <w:rsid w:val="00817DDD"/>
    <w:rsid w:val="00821D55"/>
    <w:rsid w:val="008224DF"/>
    <w:rsid w:val="008243E6"/>
    <w:rsid w:val="00825D54"/>
    <w:rsid w:val="00826E84"/>
    <w:rsid w:val="0082721E"/>
    <w:rsid w:val="008310EA"/>
    <w:rsid w:val="00831420"/>
    <w:rsid w:val="00832BA7"/>
    <w:rsid w:val="0083481A"/>
    <w:rsid w:val="008367FF"/>
    <w:rsid w:val="00841ACE"/>
    <w:rsid w:val="008423E7"/>
    <w:rsid w:val="0084245F"/>
    <w:rsid w:val="008453D4"/>
    <w:rsid w:val="008468F1"/>
    <w:rsid w:val="00846AD9"/>
    <w:rsid w:val="00850134"/>
    <w:rsid w:val="0085030D"/>
    <w:rsid w:val="00852B59"/>
    <w:rsid w:val="008554DF"/>
    <w:rsid w:val="00855B61"/>
    <w:rsid w:val="00857411"/>
    <w:rsid w:val="00861E05"/>
    <w:rsid w:val="0086346E"/>
    <w:rsid w:val="00865AC8"/>
    <w:rsid w:val="008673F7"/>
    <w:rsid w:val="008707F3"/>
    <w:rsid w:val="00871FFA"/>
    <w:rsid w:val="008805A8"/>
    <w:rsid w:val="008827A0"/>
    <w:rsid w:val="00883412"/>
    <w:rsid w:val="00884222"/>
    <w:rsid w:val="00885399"/>
    <w:rsid w:val="00885CE3"/>
    <w:rsid w:val="00886BC0"/>
    <w:rsid w:val="00887702"/>
    <w:rsid w:val="00887A00"/>
    <w:rsid w:val="008901E2"/>
    <w:rsid w:val="00891BA9"/>
    <w:rsid w:val="0089216E"/>
    <w:rsid w:val="00893159"/>
    <w:rsid w:val="008961B9"/>
    <w:rsid w:val="00896632"/>
    <w:rsid w:val="0089691A"/>
    <w:rsid w:val="008A1D93"/>
    <w:rsid w:val="008A4D49"/>
    <w:rsid w:val="008A5BF9"/>
    <w:rsid w:val="008B59AB"/>
    <w:rsid w:val="008B5A6B"/>
    <w:rsid w:val="008C19F6"/>
    <w:rsid w:val="008C1B0B"/>
    <w:rsid w:val="008C29EA"/>
    <w:rsid w:val="008C2A1F"/>
    <w:rsid w:val="008C5844"/>
    <w:rsid w:val="008D100B"/>
    <w:rsid w:val="008D331D"/>
    <w:rsid w:val="008D4140"/>
    <w:rsid w:val="008D4521"/>
    <w:rsid w:val="008D5B20"/>
    <w:rsid w:val="008E65A0"/>
    <w:rsid w:val="008E7693"/>
    <w:rsid w:val="008E7B8A"/>
    <w:rsid w:val="008F1308"/>
    <w:rsid w:val="008F48AE"/>
    <w:rsid w:val="008F6C28"/>
    <w:rsid w:val="008F739B"/>
    <w:rsid w:val="0090215C"/>
    <w:rsid w:val="00902E87"/>
    <w:rsid w:val="00903115"/>
    <w:rsid w:val="00905147"/>
    <w:rsid w:val="00905D44"/>
    <w:rsid w:val="0090657A"/>
    <w:rsid w:val="009069E5"/>
    <w:rsid w:val="009106D2"/>
    <w:rsid w:val="009115BB"/>
    <w:rsid w:val="0091517B"/>
    <w:rsid w:val="00917279"/>
    <w:rsid w:val="00921FD6"/>
    <w:rsid w:val="00924245"/>
    <w:rsid w:val="00925DE7"/>
    <w:rsid w:val="009313C0"/>
    <w:rsid w:val="009331C0"/>
    <w:rsid w:val="00933881"/>
    <w:rsid w:val="009359F8"/>
    <w:rsid w:val="009359FD"/>
    <w:rsid w:val="00937A4A"/>
    <w:rsid w:val="009408CD"/>
    <w:rsid w:val="00941367"/>
    <w:rsid w:val="00941BE9"/>
    <w:rsid w:val="00944D9B"/>
    <w:rsid w:val="009519FB"/>
    <w:rsid w:val="00951F73"/>
    <w:rsid w:val="00952D51"/>
    <w:rsid w:val="00953CC5"/>
    <w:rsid w:val="00954E7F"/>
    <w:rsid w:val="00956379"/>
    <w:rsid w:val="00961006"/>
    <w:rsid w:val="00962738"/>
    <w:rsid w:val="00963CAA"/>
    <w:rsid w:val="009647B2"/>
    <w:rsid w:val="009648F6"/>
    <w:rsid w:val="00965023"/>
    <w:rsid w:val="00965BDC"/>
    <w:rsid w:val="00970399"/>
    <w:rsid w:val="009709D6"/>
    <w:rsid w:val="00970DFA"/>
    <w:rsid w:val="00977067"/>
    <w:rsid w:val="00977B33"/>
    <w:rsid w:val="009803D3"/>
    <w:rsid w:val="009807C7"/>
    <w:rsid w:val="009812ED"/>
    <w:rsid w:val="00981757"/>
    <w:rsid w:val="009848FF"/>
    <w:rsid w:val="009870A4"/>
    <w:rsid w:val="00987788"/>
    <w:rsid w:val="009906CF"/>
    <w:rsid w:val="00990DA8"/>
    <w:rsid w:val="009930CE"/>
    <w:rsid w:val="009944DF"/>
    <w:rsid w:val="00996417"/>
    <w:rsid w:val="009A04B8"/>
    <w:rsid w:val="009A2DC2"/>
    <w:rsid w:val="009A6179"/>
    <w:rsid w:val="009A7F0B"/>
    <w:rsid w:val="009B0BC4"/>
    <w:rsid w:val="009B11E9"/>
    <w:rsid w:val="009B2009"/>
    <w:rsid w:val="009B224D"/>
    <w:rsid w:val="009B2CD9"/>
    <w:rsid w:val="009B4A2F"/>
    <w:rsid w:val="009B4A70"/>
    <w:rsid w:val="009B60B3"/>
    <w:rsid w:val="009B61F0"/>
    <w:rsid w:val="009C0027"/>
    <w:rsid w:val="009C01FB"/>
    <w:rsid w:val="009C503A"/>
    <w:rsid w:val="009C798A"/>
    <w:rsid w:val="009D1B00"/>
    <w:rsid w:val="009D1C55"/>
    <w:rsid w:val="009D2CCC"/>
    <w:rsid w:val="009D3E79"/>
    <w:rsid w:val="009D432E"/>
    <w:rsid w:val="009D560B"/>
    <w:rsid w:val="009D6F87"/>
    <w:rsid w:val="009D7349"/>
    <w:rsid w:val="009E0D35"/>
    <w:rsid w:val="009E1543"/>
    <w:rsid w:val="009E2A50"/>
    <w:rsid w:val="009E3189"/>
    <w:rsid w:val="009E4869"/>
    <w:rsid w:val="009E55D2"/>
    <w:rsid w:val="009E60FC"/>
    <w:rsid w:val="009E7F2F"/>
    <w:rsid w:val="009F0456"/>
    <w:rsid w:val="009F4DD6"/>
    <w:rsid w:val="009F5CF8"/>
    <w:rsid w:val="00A03934"/>
    <w:rsid w:val="00A04EE9"/>
    <w:rsid w:val="00A0546E"/>
    <w:rsid w:val="00A07F94"/>
    <w:rsid w:val="00A11573"/>
    <w:rsid w:val="00A1179C"/>
    <w:rsid w:val="00A12441"/>
    <w:rsid w:val="00A13C98"/>
    <w:rsid w:val="00A1535D"/>
    <w:rsid w:val="00A15D2E"/>
    <w:rsid w:val="00A17526"/>
    <w:rsid w:val="00A202E0"/>
    <w:rsid w:val="00A20999"/>
    <w:rsid w:val="00A2131E"/>
    <w:rsid w:val="00A25F19"/>
    <w:rsid w:val="00A324F2"/>
    <w:rsid w:val="00A35989"/>
    <w:rsid w:val="00A364DA"/>
    <w:rsid w:val="00A377B4"/>
    <w:rsid w:val="00A42451"/>
    <w:rsid w:val="00A46CB6"/>
    <w:rsid w:val="00A52302"/>
    <w:rsid w:val="00A62BE9"/>
    <w:rsid w:val="00A62F0E"/>
    <w:rsid w:val="00A644F4"/>
    <w:rsid w:val="00A647A4"/>
    <w:rsid w:val="00A673BE"/>
    <w:rsid w:val="00A67752"/>
    <w:rsid w:val="00A71A35"/>
    <w:rsid w:val="00A72B93"/>
    <w:rsid w:val="00A74707"/>
    <w:rsid w:val="00A77467"/>
    <w:rsid w:val="00A77FEE"/>
    <w:rsid w:val="00A80C6B"/>
    <w:rsid w:val="00A85C93"/>
    <w:rsid w:val="00A86536"/>
    <w:rsid w:val="00A86AC9"/>
    <w:rsid w:val="00A86E90"/>
    <w:rsid w:val="00A93895"/>
    <w:rsid w:val="00A96BCE"/>
    <w:rsid w:val="00A96D3D"/>
    <w:rsid w:val="00A97489"/>
    <w:rsid w:val="00AA24CE"/>
    <w:rsid w:val="00AA2C01"/>
    <w:rsid w:val="00AA2E26"/>
    <w:rsid w:val="00AA7999"/>
    <w:rsid w:val="00AB0227"/>
    <w:rsid w:val="00AB02AB"/>
    <w:rsid w:val="00AB34A1"/>
    <w:rsid w:val="00AB4989"/>
    <w:rsid w:val="00AB552C"/>
    <w:rsid w:val="00AB60A2"/>
    <w:rsid w:val="00AC11FA"/>
    <w:rsid w:val="00AC13EE"/>
    <w:rsid w:val="00AC19F8"/>
    <w:rsid w:val="00AC507C"/>
    <w:rsid w:val="00AC709C"/>
    <w:rsid w:val="00AC77F3"/>
    <w:rsid w:val="00AD05E3"/>
    <w:rsid w:val="00AD0D02"/>
    <w:rsid w:val="00AD3C93"/>
    <w:rsid w:val="00AD47D2"/>
    <w:rsid w:val="00AD5234"/>
    <w:rsid w:val="00AD6626"/>
    <w:rsid w:val="00AD7EC3"/>
    <w:rsid w:val="00AE01C2"/>
    <w:rsid w:val="00AE03D2"/>
    <w:rsid w:val="00AE0F52"/>
    <w:rsid w:val="00AE5177"/>
    <w:rsid w:val="00AE5480"/>
    <w:rsid w:val="00AE5693"/>
    <w:rsid w:val="00AE5C75"/>
    <w:rsid w:val="00AE79DC"/>
    <w:rsid w:val="00AE7D2B"/>
    <w:rsid w:val="00AF6647"/>
    <w:rsid w:val="00AF7183"/>
    <w:rsid w:val="00AF7B68"/>
    <w:rsid w:val="00AF7EA2"/>
    <w:rsid w:val="00B044FF"/>
    <w:rsid w:val="00B0467B"/>
    <w:rsid w:val="00B04953"/>
    <w:rsid w:val="00B058E6"/>
    <w:rsid w:val="00B06E36"/>
    <w:rsid w:val="00B10BB8"/>
    <w:rsid w:val="00B14074"/>
    <w:rsid w:val="00B15E72"/>
    <w:rsid w:val="00B20C8A"/>
    <w:rsid w:val="00B22752"/>
    <w:rsid w:val="00B227B4"/>
    <w:rsid w:val="00B23017"/>
    <w:rsid w:val="00B25E88"/>
    <w:rsid w:val="00B2642E"/>
    <w:rsid w:val="00B26B87"/>
    <w:rsid w:val="00B27998"/>
    <w:rsid w:val="00B32B43"/>
    <w:rsid w:val="00B3392C"/>
    <w:rsid w:val="00B33F5B"/>
    <w:rsid w:val="00B348AC"/>
    <w:rsid w:val="00B34F15"/>
    <w:rsid w:val="00B35F8A"/>
    <w:rsid w:val="00B41C66"/>
    <w:rsid w:val="00B42949"/>
    <w:rsid w:val="00B453ED"/>
    <w:rsid w:val="00B45457"/>
    <w:rsid w:val="00B473F0"/>
    <w:rsid w:val="00B478C1"/>
    <w:rsid w:val="00B530BD"/>
    <w:rsid w:val="00B53A41"/>
    <w:rsid w:val="00B555EC"/>
    <w:rsid w:val="00B561D3"/>
    <w:rsid w:val="00B562F8"/>
    <w:rsid w:val="00B60ECA"/>
    <w:rsid w:val="00B61E08"/>
    <w:rsid w:val="00B6588B"/>
    <w:rsid w:val="00B70B6E"/>
    <w:rsid w:val="00B7209B"/>
    <w:rsid w:val="00B72DB7"/>
    <w:rsid w:val="00B739BD"/>
    <w:rsid w:val="00B73FED"/>
    <w:rsid w:val="00B7660B"/>
    <w:rsid w:val="00B76F11"/>
    <w:rsid w:val="00B77038"/>
    <w:rsid w:val="00B804FC"/>
    <w:rsid w:val="00B828AA"/>
    <w:rsid w:val="00B83744"/>
    <w:rsid w:val="00B849B1"/>
    <w:rsid w:val="00B85CCB"/>
    <w:rsid w:val="00B85D6D"/>
    <w:rsid w:val="00B865DA"/>
    <w:rsid w:val="00B92EE0"/>
    <w:rsid w:val="00B934C6"/>
    <w:rsid w:val="00B93923"/>
    <w:rsid w:val="00B94027"/>
    <w:rsid w:val="00B943CC"/>
    <w:rsid w:val="00B974A1"/>
    <w:rsid w:val="00BA185D"/>
    <w:rsid w:val="00BA1AE3"/>
    <w:rsid w:val="00BB0245"/>
    <w:rsid w:val="00BB1996"/>
    <w:rsid w:val="00BB39C7"/>
    <w:rsid w:val="00BB4B6E"/>
    <w:rsid w:val="00BB5FBD"/>
    <w:rsid w:val="00BB5FD1"/>
    <w:rsid w:val="00BB64C8"/>
    <w:rsid w:val="00BC17F5"/>
    <w:rsid w:val="00BC191E"/>
    <w:rsid w:val="00BC1D33"/>
    <w:rsid w:val="00BC2B88"/>
    <w:rsid w:val="00BC2D62"/>
    <w:rsid w:val="00BD013F"/>
    <w:rsid w:val="00BD11CF"/>
    <w:rsid w:val="00BD2289"/>
    <w:rsid w:val="00BD37A3"/>
    <w:rsid w:val="00BD4DDB"/>
    <w:rsid w:val="00BD52BD"/>
    <w:rsid w:val="00BE07D1"/>
    <w:rsid w:val="00BE27BA"/>
    <w:rsid w:val="00BE3829"/>
    <w:rsid w:val="00BF0201"/>
    <w:rsid w:val="00BF0DAF"/>
    <w:rsid w:val="00BF126F"/>
    <w:rsid w:val="00BF1564"/>
    <w:rsid w:val="00BF2D42"/>
    <w:rsid w:val="00BF2E7A"/>
    <w:rsid w:val="00BF31D9"/>
    <w:rsid w:val="00BF73F0"/>
    <w:rsid w:val="00C01412"/>
    <w:rsid w:val="00C0509C"/>
    <w:rsid w:val="00C06098"/>
    <w:rsid w:val="00C06CC1"/>
    <w:rsid w:val="00C100D0"/>
    <w:rsid w:val="00C11BEC"/>
    <w:rsid w:val="00C127C9"/>
    <w:rsid w:val="00C1468F"/>
    <w:rsid w:val="00C17C6D"/>
    <w:rsid w:val="00C17E22"/>
    <w:rsid w:val="00C22DED"/>
    <w:rsid w:val="00C23648"/>
    <w:rsid w:val="00C2444C"/>
    <w:rsid w:val="00C26D9B"/>
    <w:rsid w:val="00C27123"/>
    <w:rsid w:val="00C275B2"/>
    <w:rsid w:val="00C27BB9"/>
    <w:rsid w:val="00C32BA2"/>
    <w:rsid w:val="00C33B94"/>
    <w:rsid w:val="00C35D4E"/>
    <w:rsid w:val="00C37278"/>
    <w:rsid w:val="00C378D4"/>
    <w:rsid w:val="00C42199"/>
    <w:rsid w:val="00C44116"/>
    <w:rsid w:val="00C4514C"/>
    <w:rsid w:val="00C456A3"/>
    <w:rsid w:val="00C45B7A"/>
    <w:rsid w:val="00C466F8"/>
    <w:rsid w:val="00C47249"/>
    <w:rsid w:val="00C50081"/>
    <w:rsid w:val="00C50AB0"/>
    <w:rsid w:val="00C5296D"/>
    <w:rsid w:val="00C5302F"/>
    <w:rsid w:val="00C53645"/>
    <w:rsid w:val="00C544E0"/>
    <w:rsid w:val="00C57D15"/>
    <w:rsid w:val="00C61376"/>
    <w:rsid w:val="00C61DB8"/>
    <w:rsid w:val="00C621F1"/>
    <w:rsid w:val="00C65CC2"/>
    <w:rsid w:val="00C661D1"/>
    <w:rsid w:val="00C67447"/>
    <w:rsid w:val="00C6791B"/>
    <w:rsid w:val="00C67FB0"/>
    <w:rsid w:val="00C71F1E"/>
    <w:rsid w:val="00C72102"/>
    <w:rsid w:val="00C72457"/>
    <w:rsid w:val="00C75242"/>
    <w:rsid w:val="00C76A54"/>
    <w:rsid w:val="00C810D5"/>
    <w:rsid w:val="00C811B6"/>
    <w:rsid w:val="00C84B93"/>
    <w:rsid w:val="00C85485"/>
    <w:rsid w:val="00C85767"/>
    <w:rsid w:val="00C85D87"/>
    <w:rsid w:val="00C87C51"/>
    <w:rsid w:val="00C90E23"/>
    <w:rsid w:val="00C9158E"/>
    <w:rsid w:val="00C91813"/>
    <w:rsid w:val="00C9322E"/>
    <w:rsid w:val="00C937EE"/>
    <w:rsid w:val="00C93CB6"/>
    <w:rsid w:val="00C93D50"/>
    <w:rsid w:val="00C97065"/>
    <w:rsid w:val="00CA1E13"/>
    <w:rsid w:val="00CA2E57"/>
    <w:rsid w:val="00CA43EC"/>
    <w:rsid w:val="00CA56E2"/>
    <w:rsid w:val="00CA7C2B"/>
    <w:rsid w:val="00CB1390"/>
    <w:rsid w:val="00CB1699"/>
    <w:rsid w:val="00CB4581"/>
    <w:rsid w:val="00CB5C06"/>
    <w:rsid w:val="00CB6EDA"/>
    <w:rsid w:val="00CC41A1"/>
    <w:rsid w:val="00CC50ED"/>
    <w:rsid w:val="00CC5365"/>
    <w:rsid w:val="00CC7FCF"/>
    <w:rsid w:val="00CD06C0"/>
    <w:rsid w:val="00CD26E9"/>
    <w:rsid w:val="00CD40AF"/>
    <w:rsid w:val="00CD4A8E"/>
    <w:rsid w:val="00CD4B18"/>
    <w:rsid w:val="00CD4E8E"/>
    <w:rsid w:val="00CD6EE6"/>
    <w:rsid w:val="00CD71AF"/>
    <w:rsid w:val="00CD73A4"/>
    <w:rsid w:val="00CD743D"/>
    <w:rsid w:val="00CE17EE"/>
    <w:rsid w:val="00CE3434"/>
    <w:rsid w:val="00CE541A"/>
    <w:rsid w:val="00CE546C"/>
    <w:rsid w:val="00CE5D3C"/>
    <w:rsid w:val="00CE7689"/>
    <w:rsid w:val="00CF0A68"/>
    <w:rsid w:val="00CF1DDF"/>
    <w:rsid w:val="00CF242A"/>
    <w:rsid w:val="00CF247B"/>
    <w:rsid w:val="00CF284F"/>
    <w:rsid w:val="00CF41C5"/>
    <w:rsid w:val="00CF487F"/>
    <w:rsid w:val="00CF5456"/>
    <w:rsid w:val="00CF54F6"/>
    <w:rsid w:val="00CF680D"/>
    <w:rsid w:val="00D01306"/>
    <w:rsid w:val="00D04CB0"/>
    <w:rsid w:val="00D06614"/>
    <w:rsid w:val="00D0754C"/>
    <w:rsid w:val="00D10173"/>
    <w:rsid w:val="00D10591"/>
    <w:rsid w:val="00D117B5"/>
    <w:rsid w:val="00D1417E"/>
    <w:rsid w:val="00D1640C"/>
    <w:rsid w:val="00D17F8D"/>
    <w:rsid w:val="00D20E57"/>
    <w:rsid w:val="00D2359F"/>
    <w:rsid w:val="00D32164"/>
    <w:rsid w:val="00D32827"/>
    <w:rsid w:val="00D328E1"/>
    <w:rsid w:val="00D32CF2"/>
    <w:rsid w:val="00D34983"/>
    <w:rsid w:val="00D34B6F"/>
    <w:rsid w:val="00D34B8B"/>
    <w:rsid w:val="00D356B1"/>
    <w:rsid w:val="00D35FF3"/>
    <w:rsid w:val="00D362E4"/>
    <w:rsid w:val="00D40438"/>
    <w:rsid w:val="00D42062"/>
    <w:rsid w:val="00D42742"/>
    <w:rsid w:val="00D448A9"/>
    <w:rsid w:val="00D4691C"/>
    <w:rsid w:val="00D508C2"/>
    <w:rsid w:val="00D50B45"/>
    <w:rsid w:val="00D51F40"/>
    <w:rsid w:val="00D51FAE"/>
    <w:rsid w:val="00D53782"/>
    <w:rsid w:val="00D55CF2"/>
    <w:rsid w:val="00D55E78"/>
    <w:rsid w:val="00D56B90"/>
    <w:rsid w:val="00D56E7A"/>
    <w:rsid w:val="00D632D7"/>
    <w:rsid w:val="00D6483C"/>
    <w:rsid w:val="00D66668"/>
    <w:rsid w:val="00D704D9"/>
    <w:rsid w:val="00D70C27"/>
    <w:rsid w:val="00D70DDE"/>
    <w:rsid w:val="00D72811"/>
    <w:rsid w:val="00D739AF"/>
    <w:rsid w:val="00D748C4"/>
    <w:rsid w:val="00D807DC"/>
    <w:rsid w:val="00D86CD4"/>
    <w:rsid w:val="00D93BEB"/>
    <w:rsid w:val="00D95294"/>
    <w:rsid w:val="00D96D09"/>
    <w:rsid w:val="00DA085B"/>
    <w:rsid w:val="00DA2AD9"/>
    <w:rsid w:val="00DA2E25"/>
    <w:rsid w:val="00DA2E2C"/>
    <w:rsid w:val="00DA53D3"/>
    <w:rsid w:val="00DA5554"/>
    <w:rsid w:val="00DA7329"/>
    <w:rsid w:val="00DA734F"/>
    <w:rsid w:val="00DA7983"/>
    <w:rsid w:val="00DA7B96"/>
    <w:rsid w:val="00DB081B"/>
    <w:rsid w:val="00DB0DDE"/>
    <w:rsid w:val="00DB1B7A"/>
    <w:rsid w:val="00DB1D4C"/>
    <w:rsid w:val="00DB3912"/>
    <w:rsid w:val="00DB7C47"/>
    <w:rsid w:val="00DC0522"/>
    <w:rsid w:val="00DC0B2D"/>
    <w:rsid w:val="00DC1AD5"/>
    <w:rsid w:val="00DC1D82"/>
    <w:rsid w:val="00DC1ED7"/>
    <w:rsid w:val="00DC2056"/>
    <w:rsid w:val="00DC34F1"/>
    <w:rsid w:val="00DC43CB"/>
    <w:rsid w:val="00DC53C1"/>
    <w:rsid w:val="00DD0F8D"/>
    <w:rsid w:val="00DD4FF7"/>
    <w:rsid w:val="00DD50E9"/>
    <w:rsid w:val="00DD641D"/>
    <w:rsid w:val="00DE242B"/>
    <w:rsid w:val="00DE3458"/>
    <w:rsid w:val="00DE4428"/>
    <w:rsid w:val="00DE6740"/>
    <w:rsid w:val="00DF1105"/>
    <w:rsid w:val="00DF1191"/>
    <w:rsid w:val="00DF25F1"/>
    <w:rsid w:val="00DF482A"/>
    <w:rsid w:val="00DF516A"/>
    <w:rsid w:val="00DF545A"/>
    <w:rsid w:val="00DF5A08"/>
    <w:rsid w:val="00DF6F65"/>
    <w:rsid w:val="00E02756"/>
    <w:rsid w:val="00E03755"/>
    <w:rsid w:val="00E03A95"/>
    <w:rsid w:val="00E03C52"/>
    <w:rsid w:val="00E041FB"/>
    <w:rsid w:val="00E0544D"/>
    <w:rsid w:val="00E075E6"/>
    <w:rsid w:val="00E11506"/>
    <w:rsid w:val="00E115AE"/>
    <w:rsid w:val="00E117D6"/>
    <w:rsid w:val="00E13B3F"/>
    <w:rsid w:val="00E1489D"/>
    <w:rsid w:val="00E208D7"/>
    <w:rsid w:val="00E21F31"/>
    <w:rsid w:val="00E226CF"/>
    <w:rsid w:val="00E25445"/>
    <w:rsid w:val="00E2605D"/>
    <w:rsid w:val="00E2673A"/>
    <w:rsid w:val="00E3006E"/>
    <w:rsid w:val="00E35798"/>
    <w:rsid w:val="00E369B8"/>
    <w:rsid w:val="00E4152F"/>
    <w:rsid w:val="00E417C0"/>
    <w:rsid w:val="00E4321F"/>
    <w:rsid w:val="00E45BF3"/>
    <w:rsid w:val="00E47332"/>
    <w:rsid w:val="00E504A8"/>
    <w:rsid w:val="00E50724"/>
    <w:rsid w:val="00E5139B"/>
    <w:rsid w:val="00E51D53"/>
    <w:rsid w:val="00E5295E"/>
    <w:rsid w:val="00E56262"/>
    <w:rsid w:val="00E577A0"/>
    <w:rsid w:val="00E57A6B"/>
    <w:rsid w:val="00E636E4"/>
    <w:rsid w:val="00E63C80"/>
    <w:rsid w:val="00E65DB8"/>
    <w:rsid w:val="00E679D5"/>
    <w:rsid w:val="00E70E60"/>
    <w:rsid w:val="00E716BF"/>
    <w:rsid w:val="00E71EA4"/>
    <w:rsid w:val="00E818EC"/>
    <w:rsid w:val="00E81F78"/>
    <w:rsid w:val="00E82214"/>
    <w:rsid w:val="00E83817"/>
    <w:rsid w:val="00E83E96"/>
    <w:rsid w:val="00E84424"/>
    <w:rsid w:val="00E84501"/>
    <w:rsid w:val="00E85C46"/>
    <w:rsid w:val="00E8657B"/>
    <w:rsid w:val="00E87532"/>
    <w:rsid w:val="00E93142"/>
    <w:rsid w:val="00E9424F"/>
    <w:rsid w:val="00E95EDF"/>
    <w:rsid w:val="00EA130C"/>
    <w:rsid w:val="00EA3377"/>
    <w:rsid w:val="00EA4696"/>
    <w:rsid w:val="00EA596C"/>
    <w:rsid w:val="00EA7BA7"/>
    <w:rsid w:val="00EB029F"/>
    <w:rsid w:val="00EB4D7B"/>
    <w:rsid w:val="00EB55F7"/>
    <w:rsid w:val="00EB6E98"/>
    <w:rsid w:val="00EB73E2"/>
    <w:rsid w:val="00EC015B"/>
    <w:rsid w:val="00EC25F9"/>
    <w:rsid w:val="00EC27C0"/>
    <w:rsid w:val="00EC457E"/>
    <w:rsid w:val="00EC5279"/>
    <w:rsid w:val="00EC6F9F"/>
    <w:rsid w:val="00ED0130"/>
    <w:rsid w:val="00ED08ED"/>
    <w:rsid w:val="00ED25E8"/>
    <w:rsid w:val="00ED266C"/>
    <w:rsid w:val="00ED54CC"/>
    <w:rsid w:val="00ED7872"/>
    <w:rsid w:val="00EE2C3E"/>
    <w:rsid w:val="00EE3308"/>
    <w:rsid w:val="00EE34B2"/>
    <w:rsid w:val="00EE3737"/>
    <w:rsid w:val="00EE3761"/>
    <w:rsid w:val="00EE52DD"/>
    <w:rsid w:val="00EE7C5D"/>
    <w:rsid w:val="00EF5A53"/>
    <w:rsid w:val="00EF7293"/>
    <w:rsid w:val="00F011CD"/>
    <w:rsid w:val="00F02532"/>
    <w:rsid w:val="00F02D4B"/>
    <w:rsid w:val="00F0441E"/>
    <w:rsid w:val="00F06104"/>
    <w:rsid w:val="00F06B1B"/>
    <w:rsid w:val="00F116AD"/>
    <w:rsid w:val="00F13B06"/>
    <w:rsid w:val="00F13C81"/>
    <w:rsid w:val="00F20050"/>
    <w:rsid w:val="00F236D9"/>
    <w:rsid w:val="00F23C8C"/>
    <w:rsid w:val="00F24A18"/>
    <w:rsid w:val="00F25EEC"/>
    <w:rsid w:val="00F27A65"/>
    <w:rsid w:val="00F27BCF"/>
    <w:rsid w:val="00F30401"/>
    <w:rsid w:val="00F34308"/>
    <w:rsid w:val="00F34D61"/>
    <w:rsid w:val="00F355E2"/>
    <w:rsid w:val="00F3755A"/>
    <w:rsid w:val="00F400A9"/>
    <w:rsid w:val="00F423F1"/>
    <w:rsid w:val="00F42A05"/>
    <w:rsid w:val="00F43AAF"/>
    <w:rsid w:val="00F43ADB"/>
    <w:rsid w:val="00F458BC"/>
    <w:rsid w:val="00F46C6C"/>
    <w:rsid w:val="00F46D26"/>
    <w:rsid w:val="00F476E1"/>
    <w:rsid w:val="00F51557"/>
    <w:rsid w:val="00F51C3C"/>
    <w:rsid w:val="00F52305"/>
    <w:rsid w:val="00F60F9A"/>
    <w:rsid w:val="00F61041"/>
    <w:rsid w:val="00F65C4D"/>
    <w:rsid w:val="00F66BF6"/>
    <w:rsid w:val="00F66C37"/>
    <w:rsid w:val="00F67C8C"/>
    <w:rsid w:val="00F67E6B"/>
    <w:rsid w:val="00F7076D"/>
    <w:rsid w:val="00F70928"/>
    <w:rsid w:val="00F72677"/>
    <w:rsid w:val="00F72FD1"/>
    <w:rsid w:val="00F73564"/>
    <w:rsid w:val="00F744CD"/>
    <w:rsid w:val="00F772B5"/>
    <w:rsid w:val="00F77E21"/>
    <w:rsid w:val="00F80ACD"/>
    <w:rsid w:val="00F838EC"/>
    <w:rsid w:val="00F83F10"/>
    <w:rsid w:val="00F840ED"/>
    <w:rsid w:val="00F85C86"/>
    <w:rsid w:val="00F87084"/>
    <w:rsid w:val="00F905F9"/>
    <w:rsid w:val="00F9263E"/>
    <w:rsid w:val="00FA0560"/>
    <w:rsid w:val="00FA163E"/>
    <w:rsid w:val="00FA23CB"/>
    <w:rsid w:val="00FA32C6"/>
    <w:rsid w:val="00FA69FF"/>
    <w:rsid w:val="00FA78D0"/>
    <w:rsid w:val="00FA7A1D"/>
    <w:rsid w:val="00FB149E"/>
    <w:rsid w:val="00FB44F0"/>
    <w:rsid w:val="00FC041E"/>
    <w:rsid w:val="00FC0F64"/>
    <w:rsid w:val="00FC1248"/>
    <w:rsid w:val="00FC1758"/>
    <w:rsid w:val="00FC303A"/>
    <w:rsid w:val="00FC4116"/>
    <w:rsid w:val="00FC5FCD"/>
    <w:rsid w:val="00FC63F2"/>
    <w:rsid w:val="00FC7EFD"/>
    <w:rsid w:val="00FD131E"/>
    <w:rsid w:val="00FD24E7"/>
    <w:rsid w:val="00FD3845"/>
    <w:rsid w:val="00FE1A8C"/>
    <w:rsid w:val="00FE490D"/>
    <w:rsid w:val="00FF17C6"/>
    <w:rsid w:val="00FF2551"/>
    <w:rsid w:val="00FF2813"/>
    <w:rsid w:val="00FF3AE4"/>
    <w:rsid w:val="00FF3BB5"/>
    <w:rsid w:val="00FF4037"/>
    <w:rsid w:val="00FF55AF"/>
    <w:rsid w:val="00FF723F"/>
    <w:rsid w:val="00FF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locked/>
    <w:rPr>
      <w:rFonts w:ascii="SimSun" w:eastAsia="SimSun" w:hAnsi="SimSun" w:hint="eastAsia"/>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locked/>
    <w:rPr>
      <w:rFonts w:ascii="SimSun" w:eastAsia="SimSun" w:hAnsi="SimSun" w:hint="eastAsia"/>
      <w:sz w:val="24"/>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locked/>
    <w:rPr>
      <w:rFonts w:ascii="SimSun" w:eastAsia="SimSun" w:hAnsi="SimSun" w:hint="eastAsia"/>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Pr>
      <w:rFonts w:ascii="Tahoma" w:eastAsia="SimSun" w:hAnsi="Tahoma" w:cs="Tahoma" w:hint="default"/>
      <w:sz w:val="16"/>
      <w:szCs w:val="16"/>
    </w:rPr>
  </w:style>
  <w:style w:type="paragraph" w:customStyle="1" w:styleId="Default">
    <w:name w:val="Default"/>
    <w:pPr>
      <w:autoSpaceDE w:val="0"/>
      <w:autoSpaceDN w:val="0"/>
      <w:adjustRightInd w:val="0"/>
    </w:pPr>
    <w:rPr>
      <w:rFonts w:ascii="New Century Schlbk" w:eastAsia="SimSun" w:hAnsi="New Century Schlbk" w:cs="New Century Schlbk"/>
      <w:color w:val="000000"/>
      <w:sz w:val="24"/>
      <w:szCs w:val="24"/>
    </w:rPr>
  </w:style>
  <w:style w:type="paragraph" w:customStyle="1" w:styleId="A-orderinfo">
    <w:name w:val="A-orderinfo"/>
    <w:basedOn w:val="Default"/>
    <w:next w:val="Default"/>
    <w:pPr>
      <w:spacing w:before="180"/>
    </w:pPr>
    <w:rPr>
      <w:rFonts w:cs="Times New Roman"/>
      <w:color w:val="auto"/>
    </w:rPr>
  </w:style>
  <w:style w:type="paragraph" w:customStyle="1" w:styleId="A-cataloginfo">
    <w:name w:val="A-catalog info"/>
    <w:basedOn w:val="Default"/>
    <w:next w:val="Default"/>
    <w:rPr>
      <w:rFonts w:cs="Times New Roman"/>
      <w:color w:val="auto"/>
    </w:rPr>
  </w:style>
  <w:style w:type="paragraph" w:customStyle="1" w:styleId="A-subhead">
    <w:name w:val="A-subhead"/>
    <w:basedOn w:val="Default"/>
    <w:next w:val="Default"/>
    <w:pPr>
      <w:spacing w:before="120"/>
    </w:pPr>
    <w:rPr>
      <w:rFonts w:cs="Times New Roman"/>
      <w:color w:val="auto"/>
    </w:rPr>
  </w:style>
  <w:style w:type="paragraph" w:customStyle="1" w:styleId="A-bodytext">
    <w:name w:val="A-body text"/>
    <w:basedOn w:val="Default"/>
    <w:next w:val="Default"/>
    <w:pPr>
      <w:spacing w:before="40"/>
    </w:pPr>
    <w:rPr>
      <w:rFonts w:cs="Times New Roman"/>
      <w:color w:val="auto"/>
    </w:rPr>
  </w:style>
  <w:style w:type="paragraph" w:customStyle="1" w:styleId="M-bodytext">
    <w:name w:val="M-body text"/>
    <w:basedOn w:val="Default"/>
    <w:next w:val="Default"/>
    <w:pPr>
      <w:spacing w:after="40"/>
    </w:pPr>
    <w:rPr>
      <w:rFonts w:cs="Times New Roman"/>
      <w:color w:val="auto"/>
    </w:rPr>
  </w:style>
  <w:style w:type="character" w:customStyle="1" w:styleId="catnum">
    <w:name w:val="catnum"/>
    <w:basedOn w:val="DefaultParagraphFont"/>
    <w:rsid w:val="002D3942"/>
  </w:style>
  <w:style w:type="paragraph" w:styleId="ListParagraph">
    <w:name w:val="List Paragraph"/>
    <w:basedOn w:val="Normal"/>
    <w:uiPriority w:val="34"/>
    <w:qFormat/>
    <w:rsid w:val="002D3942"/>
    <w:pPr>
      <w:ind w:left="720"/>
      <w:contextualSpacing/>
    </w:pPr>
  </w:style>
  <w:style w:type="table" w:styleId="TableGrid">
    <w:name w:val="Table Grid"/>
    <w:basedOn w:val="TableNormal"/>
    <w:rsid w:val="002D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6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70DDE"/>
    <w:rPr>
      <w:i/>
      <w:iCs/>
    </w:rPr>
  </w:style>
  <w:style w:type="character" w:customStyle="1" w:styleId="prodetailtitle1">
    <w:name w:val="pro_detail_title1"/>
    <w:basedOn w:val="DefaultParagraphFont"/>
    <w:rsid w:val="001F3FA0"/>
    <w:rPr>
      <w:b/>
      <w:bCs/>
      <w:color w:val="423D45"/>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locked/>
    <w:rPr>
      <w:rFonts w:ascii="SimSun" w:eastAsia="SimSun" w:hAnsi="SimSun" w:hint="eastAsia"/>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locked/>
    <w:rPr>
      <w:rFonts w:ascii="SimSun" w:eastAsia="SimSun" w:hAnsi="SimSun" w:hint="eastAsia"/>
      <w:sz w:val="24"/>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locked/>
    <w:rPr>
      <w:rFonts w:ascii="SimSun" w:eastAsia="SimSun" w:hAnsi="SimSun" w:hint="eastAsia"/>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Pr>
      <w:rFonts w:ascii="Tahoma" w:eastAsia="SimSun" w:hAnsi="Tahoma" w:cs="Tahoma" w:hint="default"/>
      <w:sz w:val="16"/>
      <w:szCs w:val="16"/>
    </w:rPr>
  </w:style>
  <w:style w:type="paragraph" w:customStyle="1" w:styleId="Default">
    <w:name w:val="Default"/>
    <w:pPr>
      <w:autoSpaceDE w:val="0"/>
      <w:autoSpaceDN w:val="0"/>
      <w:adjustRightInd w:val="0"/>
    </w:pPr>
    <w:rPr>
      <w:rFonts w:ascii="New Century Schlbk" w:eastAsia="SimSun" w:hAnsi="New Century Schlbk" w:cs="New Century Schlbk"/>
      <w:color w:val="000000"/>
      <w:sz w:val="24"/>
      <w:szCs w:val="24"/>
    </w:rPr>
  </w:style>
  <w:style w:type="paragraph" w:customStyle="1" w:styleId="A-orderinfo">
    <w:name w:val="A-orderinfo"/>
    <w:basedOn w:val="Default"/>
    <w:next w:val="Default"/>
    <w:pPr>
      <w:spacing w:before="180"/>
    </w:pPr>
    <w:rPr>
      <w:rFonts w:cs="Times New Roman"/>
      <w:color w:val="auto"/>
    </w:rPr>
  </w:style>
  <w:style w:type="paragraph" w:customStyle="1" w:styleId="A-cataloginfo">
    <w:name w:val="A-catalog info"/>
    <w:basedOn w:val="Default"/>
    <w:next w:val="Default"/>
    <w:rPr>
      <w:rFonts w:cs="Times New Roman"/>
      <w:color w:val="auto"/>
    </w:rPr>
  </w:style>
  <w:style w:type="paragraph" w:customStyle="1" w:styleId="A-subhead">
    <w:name w:val="A-subhead"/>
    <w:basedOn w:val="Default"/>
    <w:next w:val="Default"/>
    <w:pPr>
      <w:spacing w:before="120"/>
    </w:pPr>
    <w:rPr>
      <w:rFonts w:cs="Times New Roman"/>
      <w:color w:val="auto"/>
    </w:rPr>
  </w:style>
  <w:style w:type="paragraph" w:customStyle="1" w:styleId="A-bodytext">
    <w:name w:val="A-body text"/>
    <w:basedOn w:val="Default"/>
    <w:next w:val="Default"/>
    <w:pPr>
      <w:spacing w:before="40"/>
    </w:pPr>
    <w:rPr>
      <w:rFonts w:cs="Times New Roman"/>
      <w:color w:val="auto"/>
    </w:rPr>
  </w:style>
  <w:style w:type="paragraph" w:customStyle="1" w:styleId="M-bodytext">
    <w:name w:val="M-body text"/>
    <w:basedOn w:val="Default"/>
    <w:next w:val="Default"/>
    <w:pPr>
      <w:spacing w:after="40"/>
    </w:pPr>
    <w:rPr>
      <w:rFonts w:cs="Times New Roman"/>
      <w:color w:val="auto"/>
    </w:rPr>
  </w:style>
  <w:style w:type="character" w:customStyle="1" w:styleId="catnum">
    <w:name w:val="catnum"/>
    <w:basedOn w:val="DefaultParagraphFont"/>
    <w:rsid w:val="002D3942"/>
  </w:style>
  <w:style w:type="paragraph" w:styleId="ListParagraph">
    <w:name w:val="List Paragraph"/>
    <w:basedOn w:val="Normal"/>
    <w:uiPriority w:val="34"/>
    <w:qFormat/>
    <w:rsid w:val="002D3942"/>
    <w:pPr>
      <w:ind w:left="720"/>
      <w:contextualSpacing/>
    </w:pPr>
  </w:style>
  <w:style w:type="table" w:styleId="TableGrid">
    <w:name w:val="Table Grid"/>
    <w:basedOn w:val="TableNormal"/>
    <w:rsid w:val="002D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6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70DDE"/>
    <w:rPr>
      <w:i/>
      <w:iCs/>
    </w:rPr>
  </w:style>
  <w:style w:type="character" w:customStyle="1" w:styleId="prodetailtitle1">
    <w:name w:val="pro_detail_title1"/>
    <w:basedOn w:val="DefaultParagraphFont"/>
    <w:rsid w:val="001F3FA0"/>
    <w:rPr>
      <w:b/>
      <w:bCs/>
      <w:color w:val="423D45"/>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42940">
      <w:bodyDiv w:val="1"/>
      <w:marLeft w:val="0"/>
      <w:marRight w:val="0"/>
      <w:marTop w:val="0"/>
      <w:marBottom w:val="0"/>
      <w:divBdr>
        <w:top w:val="none" w:sz="0" w:space="0" w:color="auto"/>
        <w:left w:val="none" w:sz="0" w:space="0" w:color="auto"/>
        <w:bottom w:val="none" w:sz="0" w:space="0" w:color="auto"/>
        <w:right w:val="none" w:sz="0" w:space="0" w:color="auto"/>
      </w:divBdr>
    </w:div>
    <w:div w:id="205299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FE64-7A9D-4C88-A30A-2747B977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Functional anti-human Tie1 Antibody</vt:lpstr>
    </vt:vector>
  </TitlesOfParts>
  <Company>BIDMC</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anti-human Tie1 Antibody</dc:title>
  <dc:creator>H YUAN</dc:creator>
  <cp:lastModifiedBy>ATCS Inc</cp:lastModifiedBy>
  <cp:revision>8</cp:revision>
  <cp:lastPrinted>2016-11-12T19:41:00Z</cp:lastPrinted>
  <dcterms:created xsi:type="dcterms:W3CDTF">2016-12-24T19:07:00Z</dcterms:created>
  <dcterms:modified xsi:type="dcterms:W3CDTF">2016-12-31T16:35:00Z</dcterms:modified>
</cp:coreProperties>
</file>